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Calibri"/>
          <w:color w:val="000000" w:themeColor="text1"/>
        </w:rPr>
        <w:id w:val="1256020961"/>
        <w:docPartObj>
          <w:docPartGallery w:val="Cover Pages"/>
          <w:docPartUnique/>
        </w:docPartObj>
      </w:sdtPr>
      <w:sdtEndPr>
        <w:rPr>
          <w:smallCaps/>
        </w:rPr>
      </w:sdtEndPr>
      <w:sdtContent>
        <w:p w14:paraId="21B8384F" w14:textId="4F5816A7" w:rsidR="0071177A" w:rsidRPr="00A76818" w:rsidRDefault="0071177A" w:rsidP="000604EE">
          <w:pPr>
            <w:contextualSpacing/>
            <w:rPr>
              <w:rFonts w:ascii="Calibri" w:hAnsi="Calibri" w:cs="Calibri"/>
              <w:color w:val="000000" w:themeColor="text1"/>
            </w:rPr>
          </w:pPr>
          <w:r w:rsidRPr="00A76818">
            <w:rPr>
              <w:rFonts w:ascii="Calibri" w:hAnsi="Calibri" w:cs="Calibri"/>
              <w:noProof/>
              <w:color w:val="000000" w:themeColor="text1"/>
            </w:rPr>
            <mc:AlternateContent>
              <mc:Choice Requires="wpg">
                <w:drawing>
                  <wp:anchor distT="0" distB="0" distL="114300" distR="114300" simplePos="0" relativeHeight="251662336" behindDoc="0" locked="0" layoutInCell="1" allowOverlap="1" wp14:anchorId="3354F309" wp14:editId="6531E7B2">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3175" b="0"/>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839E880"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" path="m,l7312660,r,1129665l3619500,733425,,1091565,,xe" fillcolor="#0f6fc6 [3204]" stroked="f" strokeweight="1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sidRPr="00A76818">
            <w:rPr>
              <w:rFonts w:ascii="Calibri" w:hAnsi="Calibri" w:cs="Calibri"/>
              <w:noProof/>
              <w:color w:val="000000" w:themeColor="text1"/>
            </w:rPr>
            <mc:AlternateContent>
              <mc:Choice Requires="wps">
                <w:drawing>
                  <wp:anchor distT="0" distB="0" distL="114300" distR="114300" simplePos="0" relativeHeight="251660288" behindDoc="0" locked="0" layoutInCell="1" allowOverlap="1" wp14:anchorId="5AEB6C9B" wp14:editId="14B24C1B">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FF076E" w14:textId="2486DAC5" w:rsidR="00CC61AB" w:rsidRDefault="00CC61AB">
                                <w:pPr>
                                  <w:pStyle w:val="NoSpacing"/>
                                  <w:jc w:val="right"/>
                                  <w:rPr>
                                    <w:color w:val="595959" w:themeColor="text1" w:themeTint="A6"/>
                                    <w:sz w:val="18"/>
                                    <w:szCs w:val="18"/>
                                  </w:rPr>
                                </w:pPr>
                                <w:r>
                                  <w:rPr>
                                    <w:color w:val="595959" w:themeColor="text1" w:themeTint="A6"/>
                                    <w:sz w:val="28"/>
                                    <w:szCs w:val="28"/>
                                  </w:rPr>
                                  <w:t xml:space="preserve">UPDATED </w:t>
                                </w:r>
                                <w:r w:rsidR="00DE7F1F">
                                  <w:rPr>
                                    <w:color w:val="595959" w:themeColor="text1" w:themeTint="A6"/>
                                    <w:sz w:val="28"/>
                                    <w:szCs w:val="28"/>
                                  </w:rPr>
                                  <w:t xml:space="preserve">JANUARY </w:t>
                                </w:r>
                                <w:r w:rsidR="001560A7">
                                  <w:rPr>
                                    <w:color w:val="595959" w:themeColor="text1" w:themeTint="A6"/>
                                    <w:sz w:val="28"/>
                                    <w:szCs w:val="28"/>
                                  </w:rPr>
                                  <w:t>2022</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AEB6C9B"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4BFF076E" w14:textId="2486DAC5" w:rsidR="00CC61AB" w:rsidRDefault="00CC61AB">
                          <w:pPr>
                            <w:pStyle w:val="NoSpacing"/>
                            <w:jc w:val="right"/>
                            <w:rPr>
                              <w:color w:val="595959" w:themeColor="text1" w:themeTint="A6"/>
                              <w:sz w:val="18"/>
                              <w:szCs w:val="18"/>
                            </w:rPr>
                          </w:pPr>
                          <w:r>
                            <w:rPr>
                              <w:color w:val="595959" w:themeColor="text1" w:themeTint="A6"/>
                              <w:sz w:val="28"/>
                              <w:szCs w:val="28"/>
                            </w:rPr>
                            <w:t xml:space="preserve">UPDATED </w:t>
                          </w:r>
                          <w:r w:rsidR="00DE7F1F">
                            <w:rPr>
                              <w:color w:val="595959" w:themeColor="text1" w:themeTint="A6"/>
                              <w:sz w:val="28"/>
                              <w:szCs w:val="28"/>
                            </w:rPr>
                            <w:t xml:space="preserve">JANUARY </w:t>
                          </w:r>
                          <w:r w:rsidR="001560A7">
                            <w:rPr>
                              <w:color w:val="595959" w:themeColor="text1" w:themeTint="A6"/>
                              <w:sz w:val="28"/>
                              <w:szCs w:val="28"/>
                            </w:rPr>
                            <w:t>2022</w:t>
                          </w:r>
                        </w:p>
                      </w:txbxContent>
                    </v:textbox>
                    <w10:wrap type="square" anchorx="page" anchory="page"/>
                  </v:shape>
                </w:pict>
              </mc:Fallback>
            </mc:AlternateContent>
          </w:r>
        </w:p>
        <w:p w14:paraId="06C0405E" w14:textId="0E67FAF8" w:rsidR="00B12074" w:rsidRPr="00A76818" w:rsidRDefault="0071177A" w:rsidP="000604EE">
          <w:pPr>
            <w:contextualSpacing/>
            <w:rPr>
              <w:rFonts w:ascii="Calibri" w:hAnsi="Calibri" w:cs="Calibri"/>
              <w:color w:val="000000" w:themeColor="text1"/>
            </w:rPr>
          </w:pPr>
          <w:r w:rsidRPr="00A76818">
            <w:rPr>
              <w:rFonts w:ascii="Calibri" w:hAnsi="Calibri" w:cs="Calibri"/>
              <w:noProof/>
              <w:color w:val="000000" w:themeColor="text1"/>
            </w:rPr>
            <mc:AlternateContent>
              <mc:Choice Requires="wps">
                <w:drawing>
                  <wp:anchor distT="0" distB="0" distL="114300" distR="114300" simplePos="0" relativeHeight="251659264" behindDoc="0" locked="0" layoutInCell="1" allowOverlap="1" wp14:anchorId="317F9165" wp14:editId="4CD483A0">
                    <wp:simplePos x="0" y="0"/>
                    <wp:positionH relativeFrom="page">
                      <wp:posOffset>-723014</wp:posOffset>
                    </wp:positionH>
                    <wp:positionV relativeFrom="page">
                      <wp:posOffset>3019647</wp:posOffset>
                    </wp:positionV>
                    <wp:extent cx="827086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827086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53963" w14:textId="794170D0" w:rsidR="00CC61AB" w:rsidRPr="0071177A" w:rsidRDefault="00000000" w:rsidP="0071177A">
                                <w:pPr>
                                  <w:contextualSpacing/>
                                  <w:rPr>
                                    <w:color w:val="0F6FC6" w:themeColor="accent1"/>
                                    <w:sz w:val="72"/>
                                    <w:szCs w:val="72"/>
                                  </w:rPr>
                                </w:pPr>
                                <w:sdt>
                                  <w:sdtPr>
                                    <w:rPr>
                                      <w:b/>
                                      <w:bCs/>
                                      <w:caps/>
                                      <w:color w:val="0070C0"/>
                                      <w:sz w:val="96"/>
                                      <w:szCs w:val="9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C61AB" w:rsidRPr="004B7B0B">
                                      <w:rPr>
                                        <w:b/>
                                        <w:bCs/>
                                        <w:caps/>
                                        <w:color w:val="0070C0"/>
                                        <w:sz w:val="96"/>
                                        <w:szCs w:val="96"/>
                                      </w:rPr>
                                      <w:t xml:space="preserve">COC &amp; ESG </w:t>
                                    </w:r>
                                    <w:r w:rsidR="00CC61AB" w:rsidRPr="004B7B0B">
                                      <w:rPr>
                                        <w:b/>
                                        <w:bCs/>
                                        <w:caps/>
                                        <w:color w:val="0070C0"/>
                                        <w:sz w:val="96"/>
                                        <w:szCs w:val="96"/>
                                      </w:rPr>
                                      <w:br/>
                                      <w:t>written standards</w:t>
                                    </w:r>
                                  </w:sdtContent>
                                </w:sdt>
                              </w:p>
                              <w:p w14:paraId="18D7B28D" w14:textId="73FE089D" w:rsidR="00CC61AB" w:rsidRDefault="00000000" w:rsidP="0071177A">
                                <w:pPr>
                                  <w:contextualSpacing/>
                                  <w:rPr>
                                    <w:b/>
                                    <w:bCs/>
                                    <w:color w:val="404040" w:themeColor="text1" w:themeTint="BF"/>
                                    <w:sz w:val="34"/>
                                    <w:szCs w:val="34"/>
                                  </w:rPr>
                                </w:pPr>
                                <w:sdt>
                                  <w:sdtPr>
                                    <w:rPr>
                                      <w:b/>
                                      <w:bCs/>
                                      <w:color w:val="404040" w:themeColor="text1" w:themeTint="BF"/>
                                      <w:sz w:val="34"/>
                                      <w:szCs w:val="3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r w:rsidR="00CC61AB">
                                      <w:rPr>
                                        <w:b/>
                                        <w:bCs/>
                                        <w:color w:val="404040" w:themeColor="text1" w:themeTint="BF"/>
                                        <w:sz w:val="34"/>
                                        <w:szCs w:val="34"/>
                                      </w:rPr>
                                      <w:t>Serving Central Sierra Continuum of Care (CA-526)</w:t>
                                    </w:r>
                                  </w:sdtContent>
                                </w:sdt>
                              </w:p>
                              <w:p w14:paraId="0D425D54" w14:textId="71F32B79" w:rsidR="00CC61AB" w:rsidRPr="0071177A" w:rsidRDefault="00CC61AB" w:rsidP="0071177A">
                                <w:pPr>
                                  <w:contextualSpacing/>
                                  <w:rPr>
                                    <w:b/>
                                    <w:bCs/>
                                    <w:color w:val="404040" w:themeColor="text1" w:themeTint="BF"/>
                                    <w:sz w:val="36"/>
                                    <w:szCs w:val="36"/>
                                  </w:rPr>
                                </w:pPr>
                                <w:r w:rsidRPr="0071177A">
                                  <w:rPr>
                                    <w:i/>
                                    <w:iCs/>
                                    <w:color w:val="404040" w:themeColor="text1" w:themeTint="BF"/>
                                    <w:sz w:val="28"/>
                                    <w:szCs w:val="28"/>
                                  </w:rPr>
                                  <w:t xml:space="preserve">Amador, Calaveras, Mariposa, </w:t>
                                </w:r>
                                <w:r>
                                  <w:rPr>
                                    <w:i/>
                                    <w:iCs/>
                                    <w:color w:val="404040" w:themeColor="text1" w:themeTint="BF"/>
                                    <w:sz w:val="28"/>
                                    <w:szCs w:val="28"/>
                                  </w:rPr>
                                  <w:t>&amp;</w:t>
                                </w:r>
                                <w:r w:rsidRPr="0071177A">
                                  <w:rPr>
                                    <w:i/>
                                    <w:iCs/>
                                    <w:color w:val="404040" w:themeColor="text1" w:themeTint="BF"/>
                                    <w:sz w:val="28"/>
                                    <w:szCs w:val="28"/>
                                  </w:rPr>
                                  <w:t xml:space="preserve"> Tuolumne Counties</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317F9165" id="Text Box 154" o:spid="_x0000_s1027" type="#_x0000_t202" style="position:absolute;margin-left:-56.95pt;margin-top:237.75pt;width:651.25pt;height:286.5pt;z-index:251659264;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" filled="f" stroked="f" strokeweight=".5pt">
                    <v:textbox inset="126pt,0,54pt,0">
                      <w:txbxContent>
                        <w:p w14:paraId="6AA53963" w14:textId="794170D0" w:rsidR="00CC61AB" w:rsidRPr="0071177A" w:rsidRDefault="00000000" w:rsidP="0071177A">
                          <w:pPr>
                            <w:contextualSpacing/>
                            <w:rPr>
                              <w:color w:val="0F6FC6" w:themeColor="accent1"/>
                              <w:sz w:val="72"/>
                              <w:szCs w:val="72"/>
                            </w:rPr>
                          </w:pPr>
                          <w:sdt>
                            <w:sdtPr>
                              <w:rPr>
                                <w:b/>
                                <w:bCs/>
                                <w:caps/>
                                <w:color w:val="0070C0"/>
                                <w:sz w:val="96"/>
                                <w:szCs w:val="9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C61AB" w:rsidRPr="004B7B0B">
                                <w:rPr>
                                  <w:b/>
                                  <w:bCs/>
                                  <w:caps/>
                                  <w:color w:val="0070C0"/>
                                  <w:sz w:val="96"/>
                                  <w:szCs w:val="96"/>
                                </w:rPr>
                                <w:t xml:space="preserve">COC &amp; ESG </w:t>
                              </w:r>
                              <w:r w:rsidR="00CC61AB" w:rsidRPr="004B7B0B">
                                <w:rPr>
                                  <w:b/>
                                  <w:bCs/>
                                  <w:caps/>
                                  <w:color w:val="0070C0"/>
                                  <w:sz w:val="96"/>
                                  <w:szCs w:val="96"/>
                                </w:rPr>
                                <w:br/>
                                <w:t>written standards</w:t>
                              </w:r>
                            </w:sdtContent>
                          </w:sdt>
                        </w:p>
                        <w:p w14:paraId="18D7B28D" w14:textId="73FE089D" w:rsidR="00CC61AB" w:rsidRDefault="00000000" w:rsidP="0071177A">
                          <w:pPr>
                            <w:contextualSpacing/>
                            <w:rPr>
                              <w:b/>
                              <w:bCs/>
                              <w:color w:val="404040" w:themeColor="text1" w:themeTint="BF"/>
                              <w:sz w:val="34"/>
                              <w:szCs w:val="34"/>
                            </w:rPr>
                          </w:pPr>
                          <w:sdt>
                            <w:sdtPr>
                              <w:rPr>
                                <w:b/>
                                <w:bCs/>
                                <w:color w:val="404040" w:themeColor="text1" w:themeTint="BF"/>
                                <w:sz w:val="34"/>
                                <w:szCs w:val="3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r w:rsidR="00CC61AB">
                                <w:rPr>
                                  <w:b/>
                                  <w:bCs/>
                                  <w:color w:val="404040" w:themeColor="text1" w:themeTint="BF"/>
                                  <w:sz w:val="34"/>
                                  <w:szCs w:val="34"/>
                                </w:rPr>
                                <w:t>Serving Central Sierra Continuum of Care (CA-526)</w:t>
                              </w:r>
                            </w:sdtContent>
                          </w:sdt>
                        </w:p>
                        <w:p w14:paraId="0D425D54" w14:textId="71F32B79" w:rsidR="00CC61AB" w:rsidRPr="0071177A" w:rsidRDefault="00CC61AB" w:rsidP="0071177A">
                          <w:pPr>
                            <w:contextualSpacing/>
                            <w:rPr>
                              <w:b/>
                              <w:bCs/>
                              <w:color w:val="404040" w:themeColor="text1" w:themeTint="BF"/>
                              <w:sz w:val="36"/>
                              <w:szCs w:val="36"/>
                            </w:rPr>
                          </w:pPr>
                          <w:r w:rsidRPr="0071177A">
                            <w:rPr>
                              <w:i/>
                              <w:iCs/>
                              <w:color w:val="404040" w:themeColor="text1" w:themeTint="BF"/>
                              <w:sz w:val="28"/>
                              <w:szCs w:val="28"/>
                            </w:rPr>
                            <w:t xml:space="preserve">Amador, Calaveras, Mariposa, </w:t>
                          </w:r>
                          <w:r>
                            <w:rPr>
                              <w:i/>
                              <w:iCs/>
                              <w:color w:val="404040" w:themeColor="text1" w:themeTint="BF"/>
                              <w:sz w:val="28"/>
                              <w:szCs w:val="28"/>
                            </w:rPr>
                            <w:t>&amp;</w:t>
                          </w:r>
                          <w:r w:rsidRPr="0071177A">
                            <w:rPr>
                              <w:i/>
                              <w:iCs/>
                              <w:color w:val="404040" w:themeColor="text1" w:themeTint="BF"/>
                              <w:sz w:val="28"/>
                              <w:szCs w:val="28"/>
                            </w:rPr>
                            <w:t xml:space="preserve"> Tuolumne Counties</w:t>
                          </w:r>
                        </w:p>
                      </w:txbxContent>
                    </v:textbox>
                    <w10:wrap type="square" anchorx="page" anchory="page"/>
                  </v:shape>
                </w:pict>
              </mc:Fallback>
            </mc:AlternateContent>
          </w:r>
          <w:r w:rsidRPr="00A76818">
            <w:rPr>
              <w:rFonts w:ascii="Calibri" w:hAnsi="Calibri" w:cs="Calibri"/>
              <w:smallCaps/>
              <w:color w:val="000000" w:themeColor="text1"/>
            </w:rPr>
            <w:br w:type="page"/>
          </w:r>
        </w:p>
      </w:sdtContent>
    </w:sdt>
    <w:sdt>
      <w:sdtPr>
        <w:rPr>
          <w:smallCaps w:val="0"/>
          <w:color w:val="000000" w:themeColor="text1"/>
          <w:spacing w:val="0"/>
          <w:sz w:val="20"/>
          <w:szCs w:val="20"/>
        </w:rPr>
        <w:id w:val="786171077"/>
        <w:docPartObj>
          <w:docPartGallery w:val="Table of Contents"/>
          <w:docPartUnique/>
        </w:docPartObj>
      </w:sdtPr>
      <w:sdtEndPr>
        <w:rPr>
          <w:rFonts w:ascii="Calibri" w:hAnsi="Calibri" w:cs="Calibri"/>
          <w:b/>
          <w:bCs/>
          <w:i/>
          <w:iCs/>
          <w:noProof/>
          <w:sz w:val="24"/>
          <w:szCs w:val="24"/>
        </w:rPr>
      </w:sdtEndPr>
      <w:sdtContent>
        <w:p w14:paraId="6CE319C7" w14:textId="7FB9D6B2" w:rsidR="006A133F" w:rsidRPr="004B7B0B" w:rsidRDefault="006A133F" w:rsidP="000604EE">
          <w:pPr>
            <w:pStyle w:val="TOCHeading"/>
            <w:rPr>
              <w:color w:val="0070C0"/>
            </w:rPr>
          </w:pPr>
          <w:r w:rsidRPr="004B7B0B">
            <w:rPr>
              <w:color w:val="0070C0"/>
            </w:rPr>
            <w:t>Table of Contents</w:t>
          </w:r>
        </w:p>
        <w:p w14:paraId="1788EDA7" w14:textId="6B3583EA" w:rsidR="00CD0AF8" w:rsidRDefault="005A0E11">
          <w:pPr>
            <w:pStyle w:val="TOC1"/>
            <w:tabs>
              <w:tab w:val="right" w:leader="dot" w:pos="12950"/>
            </w:tabs>
            <w:rPr>
              <w:rFonts w:eastAsiaTheme="minorEastAsia" w:cstheme="minorBidi"/>
              <w:b w:val="0"/>
              <w:bCs w:val="0"/>
              <w:i w:val="0"/>
              <w:iCs w:val="0"/>
              <w:noProof/>
              <w:sz w:val="22"/>
              <w:szCs w:val="22"/>
            </w:rPr>
          </w:pPr>
          <w:r>
            <w:rPr>
              <w:rFonts w:ascii="Calibri" w:hAnsi="Calibri" w:cs="Calibri"/>
              <w:b w:val="0"/>
              <w:bCs w:val="0"/>
              <w:i w:val="0"/>
              <w:iCs w:val="0"/>
              <w:color w:val="000000" w:themeColor="text1"/>
            </w:rPr>
            <w:fldChar w:fldCharType="begin"/>
          </w:r>
          <w:r>
            <w:rPr>
              <w:rFonts w:ascii="Calibri" w:hAnsi="Calibri" w:cs="Calibri"/>
              <w:b w:val="0"/>
              <w:bCs w:val="0"/>
              <w:i w:val="0"/>
              <w:iCs w:val="0"/>
              <w:color w:val="000000" w:themeColor="text1"/>
            </w:rPr>
            <w:instrText xml:space="preserve"> TOC \o "1-2" \h \z \u </w:instrText>
          </w:r>
          <w:r>
            <w:rPr>
              <w:rFonts w:ascii="Calibri" w:hAnsi="Calibri" w:cs="Calibri"/>
              <w:b w:val="0"/>
              <w:bCs w:val="0"/>
              <w:i w:val="0"/>
              <w:iCs w:val="0"/>
              <w:color w:val="000000" w:themeColor="text1"/>
            </w:rPr>
            <w:fldChar w:fldCharType="separate"/>
          </w:r>
          <w:hyperlink w:anchor="_Toc124254966" w:history="1">
            <w:r w:rsidR="00CD0AF8" w:rsidRPr="009C0A3A">
              <w:rPr>
                <w:rStyle w:val="Hyperlink"/>
                <w:noProof/>
              </w:rPr>
              <w:t>Introduction</w:t>
            </w:r>
            <w:r w:rsidR="00CD0AF8">
              <w:rPr>
                <w:noProof/>
                <w:webHidden/>
              </w:rPr>
              <w:tab/>
            </w:r>
            <w:r w:rsidR="00CD0AF8">
              <w:rPr>
                <w:noProof/>
                <w:webHidden/>
              </w:rPr>
              <w:fldChar w:fldCharType="begin"/>
            </w:r>
            <w:r w:rsidR="00CD0AF8">
              <w:rPr>
                <w:noProof/>
                <w:webHidden/>
              </w:rPr>
              <w:instrText xml:space="preserve"> PAGEREF _Toc124254966 \h </w:instrText>
            </w:r>
            <w:r w:rsidR="00CD0AF8">
              <w:rPr>
                <w:noProof/>
                <w:webHidden/>
              </w:rPr>
            </w:r>
            <w:r w:rsidR="00CD0AF8">
              <w:rPr>
                <w:noProof/>
                <w:webHidden/>
              </w:rPr>
              <w:fldChar w:fldCharType="separate"/>
            </w:r>
            <w:r w:rsidR="00CD0AF8">
              <w:rPr>
                <w:noProof/>
                <w:webHidden/>
              </w:rPr>
              <w:t>1</w:t>
            </w:r>
            <w:r w:rsidR="00CD0AF8">
              <w:rPr>
                <w:noProof/>
                <w:webHidden/>
              </w:rPr>
              <w:fldChar w:fldCharType="end"/>
            </w:r>
          </w:hyperlink>
        </w:p>
        <w:p w14:paraId="7B11F010" w14:textId="7298EFEC" w:rsidR="00CD0AF8" w:rsidRDefault="00000000">
          <w:pPr>
            <w:pStyle w:val="TOC1"/>
            <w:tabs>
              <w:tab w:val="right" w:leader="dot" w:pos="12950"/>
            </w:tabs>
            <w:rPr>
              <w:rFonts w:eastAsiaTheme="minorEastAsia" w:cstheme="minorBidi"/>
              <w:b w:val="0"/>
              <w:bCs w:val="0"/>
              <w:i w:val="0"/>
              <w:iCs w:val="0"/>
              <w:noProof/>
              <w:sz w:val="22"/>
              <w:szCs w:val="22"/>
            </w:rPr>
          </w:pPr>
          <w:hyperlink w:anchor="_Toc124254967" w:history="1">
            <w:r w:rsidR="00CD0AF8" w:rsidRPr="009C0A3A">
              <w:rPr>
                <w:rStyle w:val="Hyperlink"/>
                <w:noProof/>
              </w:rPr>
              <w:t>CARES Act &amp; ESG-CV and Definitions</w:t>
            </w:r>
            <w:r w:rsidR="00CD0AF8">
              <w:rPr>
                <w:noProof/>
                <w:webHidden/>
              </w:rPr>
              <w:tab/>
            </w:r>
            <w:r w:rsidR="00CD0AF8">
              <w:rPr>
                <w:noProof/>
                <w:webHidden/>
              </w:rPr>
              <w:fldChar w:fldCharType="begin"/>
            </w:r>
            <w:r w:rsidR="00CD0AF8">
              <w:rPr>
                <w:noProof/>
                <w:webHidden/>
              </w:rPr>
              <w:instrText xml:space="preserve"> PAGEREF _Toc124254967 \h </w:instrText>
            </w:r>
            <w:r w:rsidR="00CD0AF8">
              <w:rPr>
                <w:noProof/>
                <w:webHidden/>
              </w:rPr>
            </w:r>
            <w:r w:rsidR="00CD0AF8">
              <w:rPr>
                <w:noProof/>
                <w:webHidden/>
              </w:rPr>
              <w:fldChar w:fldCharType="separate"/>
            </w:r>
            <w:r w:rsidR="00CD0AF8">
              <w:rPr>
                <w:noProof/>
                <w:webHidden/>
              </w:rPr>
              <w:t>2</w:t>
            </w:r>
            <w:r w:rsidR="00CD0AF8">
              <w:rPr>
                <w:noProof/>
                <w:webHidden/>
              </w:rPr>
              <w:fldChar w:fldCharType="end"/>
            </w:r>
          </w:hyperlink>
        </w:p>
        <w:p w14:paraId="7A339231" w14:textId="2C61F9C4" w:rsidR="00CD0AF8" w:rsidRDefault="00000000">
          <w:pPr>
            <w:pStyle w:val="TOC1"/>
            <w:tabs>
              <w:tab w:val="right" w:leader="dot" w:pos="12950"/>
            </w:tabs>
            <w:rPr>
              <w:rFonts w:eastAsiaTheme="minorEastAsia" w:cstheme="minorBidi"/>
              <w:b w:val="0"/>
              <w:bCs w:val="0"/>
              <w:i w:val="0"/>
              <w:iCs w:val="0"/>
              <w:noProof/>
              <w:sz w:val="22"/>
              <w:szCs w:val="22"/>
            </w:rPr>
          </w:pPr>
          <w:hyperlink w:anchor="_Toc124254968" w:history="1">
            <w:r w:rsidR="00CD0AF8" w:rsidRPr="009C0A3A">
              <w:rPr>
                <w:rStyle w:val="Hyperlink"/>
                <w:noProof/>
                <w:highlight w:val="yellow"/>
              </w:rPr>
              <w:t>System Characteristics</w:t>
            </w:r>
            <w:r w:rsidR="00CD0AF8">
              <w:rPr>
                <w:noProof/>
                <w:webHidden/>
              </w:rPr>
              <w:tab/>
            </w:r>
            <w:r w:rsidR="00CD0AF8">
              <w:rPr>
                <w:noProof/>
                <w:webHidden/>
              </w:rPr>
              <w:fldChar w:fldCharType="begin"/>
            </w:r>
            <w:r w:rsidR="00CD0AF8">
              <w:rPr>
                <w:noProof/>
                <w:webHidden/>
              </w:rPr>
              <w:instrText xml:space="preserve"> PAGEREF _Toc124254968 \h </w:instrText>
            </w:r>
            <w:r w:rsidR="00CD0AF8">
              <w:rPr>
                <w:noProof/>
                <w:webHidden/>
              </w:rPr>
            </w:r>
            <w:r w:rsidR="00CD0AF8">
              <w:rPr>
                <w:noProof/>
                <w:webHidden/>
              </w:rPr>
              <w:fldChar w:fldCharType="separate"/>
            </w:r>
            <w:r w:rsidR="00CD0AF8">
              <w:rPr>
                <w:noProof/>
                <w:webHidden/>
              </w:rPr>
              <w:t>11</w:t>
            </w:r>
            <w:r w:rsidR="00CD0AF8">
              <w:rPr>
                <w:noProof/>
                <w:webHidden/>
              </w:rPr>
              <w:fldChar w:fldCharType="end"/>
            </w:r>
          </w:hyperlink>
        </w:p>
        <w:p w14:paraId="277C4FB9" w14:textId="3475173C" w:rsidR="00CD0AF8" w:rsidRDefault="00000000">
          <w:pPr>
            <w:pStyle w:val="TOC2"/>
            <w:tabs>
              <w:tab w:val="right" w:leader="dot" w:pos="12950"/>
            </w:tabs>
            <w:rPr>
              <w:rFonts w:eastAsiaTheme="minorEastAsia" w:cstheme="minorBidi"/>
              <w:b w:val="0"/>
              <w:bCs w:val="0"/>
              <w:noProof/>
              <w:sz w:val="22"/>
              <w:szCs w:val="22"/>
            </w:rPr>
          </w:pPr>
          <w:hyperlink w:anchor="_Toc124254969" w:history="1">
            <w:r w:rsidR="00CD0AF8" w:rsidRPr="009C0A3A">
              <w:rPr>
                <w:rStyle w:val="Hyperlink"/>
                <w:noProof/>
                <w:highlight w:val="yellow"/>
              </w:rPr>
              <w:t>Overview</w:t>
            </w:r>
            <w:r w:rsidR="00CD0AF8">
              <w:rPr>
                <w:noProof/>
                <w:webHidden/>
              </w:rPr>
              <w:tab/>
            </w:r>
            <w:r w:rsidR="00CD0AF8">
              <w:rPr>
                <w:noProof/>
                <w:webHidden/>
              </w:rPr>
              <w:fldChar w:fldCharType="begin"/>
            </w:r>
            <w:r w:rsidR="00CD0AF8">
              <w:rPr>
                <w:noProof/>
                <w:webHidden/>
              </w:rPr>
              <w:instrText xml:space="preserve"> PAGEREF _Toc124254969 \h </w:instrText>
            </w:r>
            <w:r w:rsidR="00CD0AF8">
              <w:rPr>
                <w:noProof/>
                <w:webHidden/>
              </w:rPr>
            </w:r>
            <w:r w:rsidR="00CD0AF8">
              <w:rPr>
                <w:noProof/>
                <w:webHidden/>
              </w:rPr>
              <w:fldChar w:fldCharType="separate"/>
            </w:r>
            <w:r w:rsidR="00CD0AF8">
              <w:rPr>
                <w:noProof/>
                <w:webHidden/>
              </w:rPr>
              <w:t>11</w:t>
            </w:r>
            <w:r w:rsidR="00CD0AF8">
              <w:rPr>
                <w:noProof/>
                <w:webHidden/>
              </w:rPr>
              <w:fldChar w:fldCharType="end"/>
            </w:r>
          </w:hyperlink>
        </w:p>
        <w:p w14:paraId="670B31AA" w14:textId="6A72B87A" w:rsidR="00CD0AF8" w:rsidRDefault="00000000">
          <w:pPr>
            <w:pStyle w:val="TOC2"/>
            <w:tabs>
              <w:tab w:val="right" w:leader="dot" w:pos="12950"/>
            </w:tabs>
            <w:rPr>
              <w:rFonts w:eastAsiaTheme="minorEastAsia" w:cstheme="minorBidi"/>
              <w:b w:val="0"/>
              <w:bCs w:val="0"/>
              <w:noProof/>
              <w:sz w:val="22"/>
              <w:szCs w:val="22"/>
            </w:rPr>
          </w:pPr>
          <w:hyperlink w:anchor="_Toc124254970" w:history="1">
            <w:r w:rsidR="00CD0AF8" w:rsidRPr="009C0A3A">
              <w:rPr>
                <w:rStyle w:val="Hyperlink"/>
                <w:noProof/>
                <w:highlight w:val="yellow"/>
              </w:rPr>
              <w:t>Cultural and Linguistic Competency</w:t>
            </w:r>
            <w:r w:rsidR="00CD0AF8">
              <w:rPr>
                <w:noProof/>
                <w:webHidden/>
              </w:rPr>
              <w:tab/>
            </w:r>
            <w:r w:rsidR="00CD0AF8">
              <w:rPr>
                <w:noProof/>
                <w:webHidden/>
              </w:rPr>
              <w:fldChar w:fldCharType="begin"/>
            </w:r>
            <w:r w:rsidR="00CD0AF8">
              <w:rPr>
                <w:noProof/>
                <w:webHidden/>
              </w:rPr>
              <w:instrText xml:space="preserve"> PAGEREF _Toc124254970 \h </w:instrText>
            </w:r>
            <w:r w:rsidR="00CD0AF8">
              <w:rPr>
                <w:noProof/>
                <w:webHidden/>
              </w:rPr>
            </w:r>
            <w:r w:rsidR="00CD0AF8">
              <w:rPr>
                <w:noProof/>
                <w:webHidden/>
              </w:rPr>
              <w:fldChar w:fldCharType="separate"/>
            </w:r>
            <w:r w:rsidR="00CD0AF8">
              <w:rPr>
                <w:noProof/>
                <w:webHidden/>
              </w:rPr>
              <w:t>11</w:t>
            </w:r>
            <w:r w:rsidR="00CD0AF8">
              <w:rPr>
                <w:noProof/>
                <w:webHidden/>
              </w:rPr>
              <w:fldChar w:fldCharType="end"/>
            </w:r>
          </w:hyperlink>
        </w:p>
        <w:p w14:paraId="337D2F35" w14:textId="4889AE0B" w:rsidR="00CD0AF8" w:rsidRDefault="00000000">
          <w:pPr>
            <w:pStyle w:val="TOC2"/>
            <w:tabs>
              <w:tab w:val="right" w:leader="dot" w:pos="12950"/>
            </w:tabs>
            <w:rPr>
              <w:rFonts w:eastAsiaTheme="minorEastAsia" w:cstheme="minorBidi"/>
              <w:b w:val="0"/>
              <w:bCs w:val="0"/>
              <w:noProof/>
              <w:sz w:val="22"/>
              <w:szCs w:val="22"/>
            </w:rPr>
          </w:pPr>
          <w:hyperlink w:anchor="_Toc124254971" w:history="1">
            <w:r w:rsidR="00CD0AF8" w:rsidRPr="009C0A3A">
              <w:rPr>
                <w:rStyle w:val="Hyperlink"/>
                <w:noProof/>
                <w:highlight w:val="yellow"/>
              </w:rPr>
              <w:t>Fair and Equal Access</w:t>
            </w:r>
            <w:r w:rsidR="00CD0AF8">
              <w:rPr>
                <w:noProof/>
                <w:webHidden/>
              </w:rPr>
              <w:tab/>
            </w:r>
            <w:r w:rsidR="00CD0AF8">
              <w:rPr>
                <w:noProof/>
                <w:webHidden/>
              </w:rPr>
              <w:fldChar w:fldCharType="begin"/>
            </w:r>
            <w:r w:rsidR="00CD0AF8">
              <w:rPr>
                <w:noProof/>
                <w:webHidden/>
              </w:rPr>
              <w:instrText xml:space="preserve"> PAGEREF _Toc124254971 \h </w:instrText>
            </w:r>
            <w:r w:rsidR="00CD0AF8">
              <w:rPr>
                <w:noProof/>
                <w:webHidden/>
              </w:rPr>
            </w:r>
            <w:r w:rsidR="00CD0AF8">
              <w:rPr>
                <w:noProof/>
                <w:webHidden/>
              </w:rPr>
              <w:fldChar w:fldCharType="separate"/>
            </w:r>
            <w:r w:rsidR="00CD0AF8">
              <w:rPr>
                <w:noProof/>
                <w:webHidden/>
              </w:rPr>
              <w:t>12</w:t>
            </w:r>
            <w:r w:rsidR="00CD0AF8">
              <w:rPr>
                <w:noProof/>
                <w:webHidden/>
              </w:rPr>
              <w:fldChar w:fldCharType="end"/>
            </w:r>
          </w:hyperlink>
        </w:p>
        <w:p w14:paraId="6488E609" w14:textId="78E8DCB1" w:rsidR="00CD0AF8" w:rsidRDefault="00000000">
          <w:pPr>
            <w:pStyle w:val="TOC2"/>
            <w:tabs>
              <w:tab w:val="right" w:leader="dot" w:pos="12950"/>
            </w:tabs>
            <w:rPr>
              <w:rFonts w:eastAsiaTheme="minorEastAsia" w:cstheme="minorBidi"/>
              <w:b w:val="0"/>
              <w:bCs w:val="0"/>
              <w:noProof/>
              <w:sz w:val="22"/>
              <w:szCs w:val="22"/>
            </w:rPr>
          </w:pPr>
          <w:hyperlink w:anchor="_Toc124254972" w:history="1">
            <w:r w:rsidR="00CD0AF8" w:rsidRPr="009C0A3A">
              <w:rPr>
                <w:rStyle w:val="Hyperlink"/>
                <w:noProof/>
                <w:highlight w:val="yellow"/>
              </w:rPr>
              <w:t>HMIS</w:t>
            </w:r>
            <w:r w:rsidR="00CD0AF8">
              <w:rPr>
                <w:noProof/>
                <w:webHidden/>
              </w:rPr>
              <w:tab/>
            </w:r>
            <w:r w:rsidR="00CD0AF8">
              <w:rPr>
                <w:noProof/>
                <w:webHidden/>
              </w:rPr>
              <w:fldChar w:fldCharType="begin"/>
            </w:r>
            <w:r w:rsidR="00CD0AF8">
              <w:rPr>
                <w:noProof/>
                <w:webHidden/>
              </w:rPr>
              <w:instrText xml:space="preserve"> PAGEREF _Toc124254972 \h </w:instrText>
            </w:r>
            <w:r w:rsidR="00CD0AF8">
              <w:rPr>
                <w:noProof/>
                <w:webHidden/>
              </w:rPr>
            </w:r>
            <w:r w:rsidR="00CD0AF8">
              <w:rPr>
                <w:noProof/>
                <w:webHidden/>
              </w:rPr>
              <w:fldChar w:fldCharType="separate"/>
            </w:r>
            <w:r w:rsidR="00CD0AF8">
              <w:rPr>
                <w:noProof/>
                <w:webHidden/>
              </w:rPr>
              <w:t>14</w:t>
            </w:r>
            <w:r w:rsidR="00CD0AF8">
              <w:rPr>
                <w:noProof/>
                <w:webHidden/>
              </w:rPr>
              <w:fldChar w:fldCharType="end"/>
            </w:r>
          </w:hyperlink>
        </w:p>
        <w:p w14:paraId="72EDC2AE" w14:textId="41C6CC64" w:rsidR="00CD0AF8" w:rsidRDefault="00000000">
          <w:pPr>
            <w:pStyle w:val="TOC2"/>
            <w:tabs>
              <w:tab w:val="right" w:leader="dot" w:pos="12950"/>
            </w:tabs>
            <w:rPr>
              <w:rFonts w:eastAsiaTheme="minorEastAsia" w:cstheme="minorBidi"/>
              <w:b w:val="0"/>
              <w:bCs w:val="0"/>
              <w:noProof/>
              <w:sz w:val="22"/>
              <w:szCs w:val="22"/>
            </w:rPr>
          </w:pPr>
          <w:hyperlink w:anchor="_Toc124254973" w:history="1">
            <w:r w:rsidR="00CD0AF8" w:rsidRPr="009C0A3A">
              <w:rPr>
                <w:rStyle w:val="Hyperlink"/>
                <w:noProof/>
                <w:highlight w:val="yellow"/>
              </w:rPr>
              <w:t>Inclusive</w:t>
            </w:r>
            <w:r w:rsidR="00CD0AF8">
              <w:rPr>
                <w:noProof/>
                <w:webHidden/>
              </w:rPr>
              <w:tab/>
            </w:r>
            <w:r w:rsidR="00CD0AF8">
              <w:rPr>
                <w:noProof/>
                <w:webHidden/>
              </w:rPr>
              <w:fldChar w:fldCharType="begin"/>
            </w:r>
            <w:r w:rsidR="00CD0AF8">
              <w:rPr>
                <w:noProof/>
                <w:webHidden/>
              </w:rPr>
              <w:instrText xml:space="preserve"> PAGEREF _Toc124254973 \h </w:instrText>
            </w:r>
            <w:r w:rsidR="00CD0AF8">
              <w:rPr>
                <w:noProof/>
                <w:webHidden/>
              </w:rPr>
            </w:r>
            <w:r w:rsidR="00CD0AF8">
              <w:rPr>
                <w:noProof/>
                <w:webHidden/>
              </w:rPr>
              <w:fldChar w:fldCharType="separate"/>
            </w:r>
            <w:r w:rsidR="00CD0AF8">
              <w:rPr>
                <w:noProof/>
                <w:webHidden/>
              </w:rPr>
              <w:t>14</w:t>
            </w:r>
            <w:r w:rsidR="00CD0AF8">
              <w:rPr>
                <w:noProof/>
                <w:webHidden/>
              </w:rPr>
              <w:fldChar w:fldCharType="end"/>
            </w:r>
          </w:hyperlink>
        </w:p>
        <w:p w14:paraId="26527E21" w14:textId="2CD5D612" w:rsidR="00CD0AF8" w:rsidRDefault="00000000">
          <w:pPr>
            <w:pStyle w:val="TOC2"/>
            <w:tabs>
              <w:tab w:val="right" w:leader="dot" w:pos="12950"/>
            </w:tabs>
            <w:rPr>
              <w:rFonts w:eastAsiaTheme="minorEastAsia" w:cstheme="minorBidi"/>
              <w:b w:val="0"/>
              <w:bCs w:val="0"/>
              <w:noProof/>
              <w:sz w:val="22"/>
              <w:szCs w:val="22"/>
            </w:rPr>
          </w:pPr>
          <w:hyperlink w:anchor="_Toc124254974" w:history="1">
            <w:r w:rsidR="00CD0AF8" w:rsidRPr="009C0A3A">
              <w:rPr>
                <w:rStyle w:val="Hyperlink"/>
                <w:noProof/>
                <w:highlight w:val="yellow"/>
              </w:rPr>
              <w:t>Informing Local Planning</w:t>
            </w:r>
            <w:r w:rsidR="00CD0AF8">
              <w:rPr>
                <w:noProof/>
                <w:webHidden/>
              </w:rPr>
              <w:tab/>
            </w:r>
            <w:r w:rsidR="00CD0AF8">
              <w:rPr>
                <w:noProof/>
                <w:webHidden/>
              </w:rPr>
              <w:fldChar w:fldCharType="begin"/>
            </w:r>
            <w:r w:rsidR="00CD0AF8">
              <w:rPr>
                <w:noProof/>
                <w:webHidden/>
              </w:rPr>
              <w:instrText xml:space="preserve"> PAGEREF _Toc124254974 \h </w:instrText>
            </w:r>
            <w:r w:rsidR="00CD0AF8">
              <w:rPr>
                <w:noProof/>
                <w:webHidden/>
              </w:rPr>
            </w:r>
            <w:r w:rsidR="00CD0AF8">
              <w:rPr>
                <w:noProof/>
                <w:webHidden/>
              </w:rPr>
              <w:fldChar w:fldCharType="separate"/>
            </w:r>
            <w:r w:rsidR="00CD0AF8">
              <w:rPr>
                <w:noProof/>
                <w:webHidden/>
              </w:rPr>
              <w:t>14</w:t>
            </w:r>
            <w:r w:rsidR="00CD0AF8">
              <w:rPr>
                <w:noProof/>
                <w:webHidden/>
              </w:rPr>
              <w:fldChar w:fldCharType="end"/>
            </w:r>
          </w:hyperlink>
        </w:p>
        <w:p w14:paraId="45BD87A3" w14:textId="3B833799" w:rsidR="00CD0AF8" w:rsidRDefault="00000000">
          <w:pPr>
            <w:pStyle w:val="TOC2"/>
            <w:tabs>
              <w:tab w:val="right" w:leader="dot" w:pos="12950"/>
            </w:tabs>
            <w:rPr>
              <w:rFonts w:eastAsiaTheme="minorEastAsia" w:cstheme="minorBidi"/>
              <w:b w:val="0"/>
              <w:bCs w:val="0"/>
              <w:noProof/>
              <w:sz w:val="22"/>
              <w:szCs w:val="22"/>
            </w:rPr>
          </w:pPr>
          <w:hyperlink w:anchor="_Toc124254975" w:history="1">
            <w:r w:rsidR="00CD0AF8" w:rsidRPr="009C0A3A">
              <w:rPr>
                <w:rStyle w:val="Hyperlink"/>
                <w:noProof/>
                <w:highlight w:val="yellow"/>
              </w:rPr>
              <w:t>Leverage Local Attributes and Capacity</w:t>
            </w:r>
            <w:r w:rsidR="00CD0AF8">
              <w:rPr>
                <w:noProof/>
                <w:webHidden/>
              </w:rPr>
              <w:tab/>
            </w:r>
            <w:r w:rsidR="00CD0AF8">
              <w:rPr>
                <w:noProof/>
                <w:webHidden/>
              </w:rPr>
              <w:fldChar w:fldCharType="begin"/>
            </w:r>
            <w:r w:rsidR="00CD0AF8">
              <w:rPr>
                <w:noProof/>
                <w:webHidden/>
              </w:rPr>
              <w:instrText xml:space="preserve"> PAGEREF _Toc124254975 \h </w:instrText>
            </w:r>
            <w:r w:rsidR="00CD0AF8">
              <w:rPr>
                <w:noProof/>
                <w:webHidden/>
              </w:rPr>
            </w:r>
            <w:r w:rsidR="00CD0AF8">
              <w:rPr>
                <w:noProof/>
                <w:webHidden/>
              </w:rPr>
              <w:fldChar w:fldCharType="separate"/>
            </w:r>
            <w:r w:rsidR="00CD0AF8">
              <w:rPr>
                <w:noProof/>
                <w:webHidden/>
              </w:rPr>
              <w:t>16</w:t>
            </w:r>
            <w:r w:rsidR="00CD0AF8">
              <w:rPr>
                <w:noProof/>
                <w:webHidden/>
              </w:rPr>
              <w:fldChar w:fldCharType="end"/>
            </w:r>
          </w:hyperlink>
        </w:p>
        <w:p w14:paraId="13095547" w14:textId="3D678253" w:rsidR="00CD0AF8" w:rsidRDefault="00000000">
          <w:pPr>
            <w:pStyle w:val="TOC2"/>
            <w:tabs>
              <w:tab w:val="right" w:leader="dot" w:pos="12950"/>
            </w:tabs>
            <w:rPr>
              <w:rFonts w:eastAsiaTheme="minorEastAsia" w:cstheme="minorBidi"/>
              <w:b w:val="0"/>
              <w:bCs w:val="0"/>
              <w:noProof/>
              <w:sz w:val="22"/>
              <w:szCs w:val="22"/>
            </w:rPr>
          </w:pPr>
          <w:hyperlink w:anchor="_Toc124254976" w:history="1">
            <w:r w:rsidR="00CD0AF8" w:rsidRPr="009C0A3A">
              <w:rPr>
                <w:rStyle w:val="Hyperlink"/>
                <w:noProof/>
                <w:highlight w:val="yellow"/>
              </w:rPr>
              <w:t>Low Barrier</w:t>
            </w:r>
            <w:r w:rsidR="00CD0AF8">
              <w:rPr>
                <w:noProof/>
                <w:webHidden/>
              </w:rPr>
              <w:tab/>
            </w:r>
            <w:r w:rsidR="00CD0AF8">
              <w:rPr>
                <w:noProof/>
                <w:webHidden/>
              </w:rPr>
              <w:fldChar w:fldCharType="begin"/>
            </w:r>
            <w:r w:rsidR="00CD0AF8">
              <w:rPr>
                <w:noProof/>
                <w:webHidden/>
              </w:rPr>
              <w:instrText xml:space="preserve"> PAGEREF _Toc124254976 \h </w:instrText>
            </w:r>
            <w:r w:rsidR="00CD0AF8">
              <w:rPr>
                <w:noProof/>
                <w:webHidden/>
              </w:rPr>
            </w:r>
            <w:r w:rsidR="00CD0AF8">
              <w:rPr>
                <w:noProof/>
                <w:webHidden/>
              </w:rPr>
              <w:fldChar w:fldCharType="separate"/>
            </w:r>
            <w:r w:rsidR="00CD0AF8">
              <w:rPr>
                <w:noProof/>
                <w:webHidden/>
              </w:rPr>
              <w:t>16</w:t>
            </w:r>
            <w:r w:rsidR="00CD0AF8">
              <w:rPr>
                <w:noProof/>
                <w:webHidden/>
              </w:rPr>
              <w:fldChar w:fldCharType="end"/>
            </w:r>
          </w:hyperlink>
        </w:p>
        <w:p w14:paraId="68194F32" w14:textId="55503D86" w:rsidR="00CD0AF8" w:rsidRDefault="00000000">
          <w:pPr>
            <w:pStyle w:val="TOC2"/>
            <w:tabs>
              <w:tab w:val="right" w:leader="dot" w:pos="12950"/>
            </w:tabs>
            <w:rPr>
              <w:rFonts w:eastAsiaTheme="minorEastAsia" w:cstheme="minorBidi"/>
              <w:b w:val="0"/>
              <w:bCs w:val="0"/>
              <w:noProof/>
              <w:sz w:val="22"/>
              <w:szCs w:val="22"/>
            </w:rPr>
          </w:pPr>
          <w:hyperlink w:anchor="_Toc124254977" w:history="1">
            <w:r w:rsidR="00CD0AF8" w:rsidRPr="009C0A3A">
              <w:rPr>
                <w:rStyle w:val="Hyperlink"/>
                <w:noProof/>
                <w:highlight w:val="yellow"/>
              </w:rPr>
              <w:t>Participant Autonomy</w:t>
            </w:r>
            <w:r w:rsidR="00CD0AF8">
              <w:rPr>
                <w:noProof/>
                <w:webHidden/>
              </w:rPr>
              <w:tab/>
            </w:r>
            <w:r w:rsidR="00CD0AF8">
              <w:rPr>
                <w:noProof/>
                <w:webHidden/>
              </w:rPr>
              <w:fldChar w:fldCharType="begin"/>
            </w:r>
            <w:r w:rsidR="00CD0AF8">
              <w:rPr>
                <w:noProof/>
                <w:webHidden/>
              </w:rPr>
              <w:instrText xml:space="preserve"> PAGEREF _Toc124254977 \h </w:instrText>
            </w:r>
            <w:r w:rsidR="00CD0AF8">
              <w:rPr>
                <w:noProof/>
                <w:webHidden/>
              </w:rPr>
            </w:r>
            <w:r w:rsidR="00CD0AF8">
              <w:rPr>
                <w:noProof/>
                <w:webHidden/>
              </w:rPr>
              <w:fldChar w:fldCharType="separate"/>
            </w:r>
            <w:r w:rsidR="00CD0AF8">
              <w:rPr>
                <w:noProof/>
                <w:webHidden/>
              </w:rPr>
              <w:t>16</w:t>
            </w:r>
            <w:r w:rsidR="00CD0AF8">
              <w:rPr>
                <w:noProof/>
                <w:webHidden/>
              </w:rPr>
              <w:fldChar w:fldCharType="end"/>
            </w:r>
          </w:hyperlink>
        </w:p>
        <w:p w14:paraId="2E00192A" w14:textId="6C73E170" w:rsidR="00CD0AF8" w:rsidRDefault="00000000">
          <w:pPr>
            <w:pStyle w:val="TOC2"/>
            <w:tabs>
              <w:tab w:val="right" w:leader="dot" w:pos="12950"/>
            </w:tabs>
            <w:rPr>
              <w:rFonts w:eastAsiaTheme="minorEastAsia" w:cstheme="minorBidi"/>
              <w:b w:val="0"/>
              <w:bCs w:val="0"/>
              <w:noProof/>
              <w:sz w:val="22"/>
              <w:szCs w:val="22"/>
            </w:rPr>
          </w:pPr>
          <w:hyperlink w:anchor="_Toc124254978" w:history="1">
            <w:r w:rsidR="00CD0AF8" w:rsidRPr="009C0A3A">
              <w:rPr>
                <w:rStyle w:val="Hyperlink"/>
                <w:noProof/>
                <w:highlight w:val="yellow"/>
              </w:rPr>
              <w:t>Person-Centered Approach</w:t>
            </w:r>
            <w:r w:rsidR="00CD0AF8">
              <w:rPr>
                <w:noProof/>
                <w:webHidden/>
              </w:rPr>
              <w:tab/>
            </w:r>
            <w:r w:rsidR="00CD0AF8">
              <w:rPr>
                <w:noProof/>
                <w:webHidden/>
              </w:rPr>
              <w:fldChar w:fldCharType="begin"/>
            </w:r>
            <w:r w:rsidR="00CD0AF8">
              <w:rPr>
                <w:noProof/>
                <w:webHidden/>
              </w:rPr>
              <w:instrText xml:space="preserve"> PAGEREF _Toc124254978 \h </w:instrText>
            </w:r>
            <w:r w:rsidR="00CD0AF8">
              <w:rPr>
                <w:noProof/>
                <w:webHidden/>
              </w:rPr>
            </w:r>
            <w:r w:rsidR="00CD0AF8">
              <w:rPr>
                <w:noProof/>
                <w:webHidden/>
              </w:rPr>
              <w:fldChar w:fldCharType="separate"/>
            </w:r>
            <w:r w:rsidR="00CD0AF8">
              <w:rPr>
                <w:noProof/>
                <w:webHidden/>
              </w:rPr>
              <w:t>16</w:t>
            </w:r>
            <w:r w:rsidR="00CD0AF8">
              <w:rPr>
                <w:noProof/>
                <w:webHidden/>
              </w:rPr>
              <w:fldChar w:fldCharType="end"/>
            </w:r>
          </w:hyperlink>
        </w:p>
        <w:p w14:paraId="54D23E97" w14:textId="4647FCC0" w:rsidR="00CD0AF8" w:rsidRDefault="00000000">
          <w:pPr>
            <w:pStyle w:val="TOC2"/>
            <w:tabs>
              <w:tab w:val="right" w:leader="dot" w:pos="12950"/>
            </w:tabs>
            <w:rPr>
              <w:rFonts w:eastAsiaTheme="minorEastAsia" w:cstheme="minorBidi"/>
              <w:b w:val="0"/>
              <w:bCs w:val="0"/>
              <w:noProof/>
              <w:sz w:val="22"/>
              <w:szCs w:val="22"/>
            </w:rPr>
          </w:pPr>
          <w:hyperlink w:anchor="_Toc124254979" w:history="1">
            <w:r w:rsidR="00CD0AF8" w:rsidRPr="009C0A3A">
              <w:rPr>
                <w:rStyle w:val="Hyperlink"/>
                <w:noProof/>
                <w:highlight w:val="yellow"/>
              </w:rPr>
              <w:t>Referral Protocols</w:t>
            </w:r>
            <w:r w:rsidR="00CD0AF8">
              <w:rPr>
                <w:noProof/>
                <w:webHidden/>
              </w:rPr>
              <w:tab/>
            </w:r>
            <w:r w:rsidR="00CD0AF8">
              <w:rPr>
                <w:noProof/>
                <w:webHidden/>
              </w:rPr>
              <w:fldChar w:fldCharType="begin"/>
            </w:r>
            <w:r w:rsidR="00CD0AF8">
              <w:rPr>
                <w:noProof/>
                <w:webHidden/>
              </w:rPr>
              <w:instrText xml:space="preserve"> PAGEREF _Toc124254979 \h </w:instrText>
            </w:r>
            <w:r w:rsidR="00CD0AF8">
              <w:rPr>
                <w:noProof/>
                <w:webHidden/>
              </w:rPr>
            </w:r>
            <w:r w:rsidR="00CD0AF8">
              <w:rPr>
                <w:noProof/>
                <w:webHidden/>
              </w:rPr>
              <w:fldChar w:fldCharType="separate"/>
            </w:r>
            <w:r w:rsidR="00CD0AF8">
              <w:rPr>
                <w:noProof/>
                <w:webHidden/>
              </w:rPr>
              <w:t>18</w:t>
            </w:r>
            <w:r w:rsidR="00CD0AF8">
              <w:rPr>
                <w:noProof/>
                <w:webHidden/>
              </w:rPr>
              <w:fldChar w:fldCharType="end"/>
            </w:r>
          </w:hyperlink>
        </w:p>
        <w:p w14:paraId="20B81AFF" w14:textId="667A1C2F" w:rsidR="00CD0AF8" w:rsidRDefault="00000000">
          <w:pPr>
            <w:pStyle w:val="TOC2"/>
            <w:tabs>
              <w:tab w:val="right" w:leader="dot" w:pos="12950"/>
            </w:tabs>
            <w:rPr>
              <w:rFonts w:eastAsiaTheme="minorEastAsia" w:cstheme="minorBidi"/>
              <w:b w:val="0"/>
              <w:bCs w:val="0"/>
              <w:noProof/>
              <w:sz w:val="22"/>
              <w:szCs w:val="22"/>
            </w:rPr>
          </w:pPr>
          <w:hyperlink w:anchor="_Toc124254980" w:history="1">
            <w:r w:rsidR="00CD0AF8" w:rsidRPr="009C0A3A">
              <w:rPr>
                <w:rStyle w:val="Hyperlink"/>
                <w:noProof/>
                <w:highlight w:val="yellow"/>
              </w:rPr>
              <w:t>Ongoing Planning and Stakeholder Consultation</w:t>
            </w:r>
            <w:r w:rsidR="00CD0AF8">
              <w:rPr>
                <w:noProof/>
                <w:webHidden/>
              </w:rPr>
              <w:tab/>
            </w:r>
            <w:r w:rsidR="00CD0AF8">
              <w:rPr>
                <w:noProof/>
                <w:webHidden/>
              </w:rPr>
              <w:fldChar w:fldCharType="begin"/>
            </w:r>
            <w:r w:rsidR="00CD0AF8">
              <w:rPr>
                <w:noProof/>
                <w:webHidden/>
              </w:rPr>
              <w:instrText xml:space="preserve"> PAGEREF _Toc124254980 \h </w:instrText>
            </w:r>
            <w:r w:rsidR="00CD0AF8">
              <w:rPr>
                <w:noProof/>
                <w:webHidden/>
              </w:rPr>
            </w:r>
            <w:r w:rsidR="00CD0AF8">
              <w:rPr>
                <w:noProof/>
                <w:webHidden/>
              </w:rPr>
              <w:fldChar w:fldCharType="separate"/>
            </w:r>
            <w:r w:rsidR="00CD0AF8">
              <w:rPr>
                <w:noProof/>
                <w:webHidden/>
              </w:rPr>
              <w:t>22</w:t>
            </w:r>
            <w:r w:rsidR="00CD0AF8">
              <w:rPr>
                <w:noProof/>
                <w:webHidden/>
              </w:rPr>
              <w:fldChar w:fldCharType="end"/>
            </w:r>
          </w:hyperlink>
        </w:p>
        <w:p w14:paraId="51F070F1" w14:textId="2AF42933" w:rsidR="00CD0AF8" w:rsidRDefault="00000000">
          <w:pPr>
            <w:pStyle w:val="TOC1"/>
            <w:tabs>
              <w:tab w:val="right" w:leader="dot" w:pos="12950"/>
            </w:tabs>
            <w:rPr>
              <w:rFonts w:eastAsiaTheme="minorEastAsia" w:cstheme="minorBidi"/>
              <w:b w:val="0"/>
              <w:bCs w:val="0"/>
              <w:i w:val="0"/>
              <w:iCs w:val="0"/>
              <w:noProof/>
              <w:sz w:val="22"/>
              <w:szCs w:val="22"/>
            </w:rPr>
          </w:pPr>
          <w:hyperlink w:anchor="_Toc124254981" w:history="1">
            <w:r w:rsidR="00CD0AF8" w:rsidRPr="009C0A3A">
              <w:rPr>
                <w:rStyle w:val="Hyperlink"/>
                <w:noProof/>
                <w:highlight w:val="yellow"/>
              </w:rPr>
              <w:t>Access</w:t>
            </w:r>
            <w:r w:rsidR="00CD0AF8">
              <w:rPr>
                <w:noProof/>
                <w:webHidden/>
              </w:rPr>
              <w:tab/>
            </w:r>
            <w:r w:rsidR="00CD0AF8">
              <w:rPr>
                <w:noProof/>
                <w:webHidden/>
              </w:rPr>
              <w:fldChar w:fldCharType="begin"/>
            </w:r>
            <w:r w:rsidR="00CD0AF8">
              <w:rPr>
                <w:noProof/>
                <w:webHidden/>
              </w:rPr>
              <w:instrText xml:space="preserve"> PAGEREF _Toc124254981 \h </w:instrText>
            </w:r>
            <w:r w:rsidR="00CD0AF8">
              <w:rPr>
                <w:noProof/>
                <w:webHidden/>
              </w:rPr>
            </w:r>
            <w:r w:rsidR="00CD0AF8">
              <w:rPr>
                <w:noProof/>
                <w:webHidden/>
              </w:rPr>
              <w:fldChar w:fldCharType="separate"/>
            </w:r>
            <w:r w:rsidR="00CD0AF8">
              <w:rPr>
                <w:noProof/>
                <w:webHidden/>
              </w:rPr>
              <w:t>23</w:t>
            </w:r>
            <w:r w:rsidR="00CD0AF8">
              <w:rPr>
                <w:noProof/>
                <w:webHidden/>
              </w:rPr>
              <w:fldChar w:fldCharType="end"/>
            </w:r>
          </w:hyperlink>
        </w:p>
        <w:p w14:paraId="1029B242" w14:textId="22F5EFAB" w:rsidR="00CD0AF8" w:rsidRDefault="00000000">
          <w:pPr>
            <w:pStyle w:val="TOC2"/>
            <w:tabs>
              <w:tab w:val="right" w:leader="dot" w:pos="12950"/>
            </w:tabs>
            <w:rPr>
              <w:rFonts w:eastAsiaTheme="minorEastAsia" w:cstheme="minorBidi"/>
              <w:b w:val="0"/>
              <w:bCs w:val="0"/>
              <w:noProof/>
              <w:sz w:val="22"/>
              <w:szCs w:val="22"/>
            </w:rPr>
          </w:pPr>
          <w:hyperlink w:anchor="_Toc124254982" w:history="1">
            <w:r w:rsidR="00CD0AF8" w:rsidRPr="009C0A3A">
              <w:rPr>
                <w:rStyle w:val="Hyperlink"/>
                <w:noProof/>
                <w:highlight w:val="yellow"/>
              </w:rPr>
              <w:t>Full Coverage</w:t>
            </w:r>
            <w:r w:rsidR="00CD0AF8">
              <w:rPr>
                <w:noProof/>
                <w:webHidden/>
              </w:rPr>
              <w:tab/>
            </w:r>
            <w:r w:rsidR="00CD0AF8">
              <w:rPr>
                <w:noProof/>
                <w:webHidden/>
              </w:rPr>
              <w:fldChar w:fldCharType="begin"/>
            </w:r>
            <w:r w:rsidR="00CD0AF8">
              <w:rPr>
                <w:noProof/>
                <w:webHidden/>
              </w:rPr>
              <w:instrText xml:space="preserve"> PAGEREF _Toc124254982 \h </w:instrText>
            </w:r>
            <w:r w:rsidR="00CD0AF8">
              <w:rPr>
                <w:noProof/>
                <w:webHidden/>
              </w:rPr>
            </w:r>
            <w:r w:rsidR="00CD0AF8">
              <w:rPr>
                <w:noProof/>
                <w:webHidden/>
              </w:rPr>
              <w:fldChar w:fldCharType="separate"/>
            </w:r>
            <w:r w:rsidR="00CD0AF8">
              <w:rPr>
                <w:noProof/>
                <w:webHidden/>
              </w:rPr>
              <w:t>23</w:t>
            </w:r>
            <w:r w:rsidR="00CD0AF8">
              <w:rPr>
                <w:noProof/>
                <w:webHidden/>
              </w:rPr>
              <w:fldChar w:fldCharType="end"/>
            </w:r>
          </w:hyperlink>
        </w:p>
        <w:p w14:paraId="2AA84640" w14:textId="1ACE5A68" w:rsidR="00CD0AF8" w:rsidRDefault="00000000">
          <w:pPr>
            <w:pStyle w:val="TOC2"/>
            <w:tabs>
              <w:tab w:val="right" w:leader="dot" w:pos="12950"/>
            </w:tabs>
            <w:rPr>
              <w:rFonts w:eastAsiaTheme="minorEastAsia" w:cstheme="minorBidi"/>
              <w:b w:val="0"/>
              <w:bCs w:val="0"/>
              <w:noProof/>
              <w:sz w:val="22"/>
              <w:szCs w:val="22"/>
            </w:rPr>
          </w:pPr>
          <w:hyperlink w:anchor="_Toc124254983" w:history="1">
            <w:r w:rsidR="00CD0AF8" w:rsidRPr="009C0A3A">
              <w:rPr>
                <w:rStyle w:val="Hyperlink"/>
                <w:noProof/>
                <w:highlight w:val="yellow"/>
              </w:rPr>
              <w:t>Non-Discriminatory Access</w:t>
            </w:r>
            <w:r w:rsidR="00CD0AF8">
              <w:rPr>
                <w:noProof/>
                <w:webHidden/>
              </w:rPr>
              <w:tab/>
            </w:r>
            <w:r w:rsidR="00CD0AF8">
              <w:rPr>
                <w:noProof/>
                <w:webHidden/>
              </w:rPr>
              <w:fldChar w:fldCharType="begin"/>
            </w:r>
            <w:r w:rsidR="00CD0AF8">
              <w:rPr>
                <w:noProof/>
                <w:webHidden/>
              </w:rPr>
              <w:instrText xml:space="preserve"> PAGEREF _Toc124254983 \h </w:instrText>
            </w:r>
            <w:r w:rsidR="00CD0AF8">
              <w:rPr>
                <w:noProof/>
                <w:webHidden/>
              </w:rPr>
            </w:r>
            <w:r w:rsidR="00CD0AF8">
              <w:rPr>
                <w:noProof/>
                <w:webHidden/>
              </w:rPr>
              <w:fldChar w:fldCharType="separate"/>
            </w:r>
            <w:r w:rsidR="00CD0AF8">
              <w:rPr>
                <w:noProof/>
                <w:webHidden/>
              </w:rPr>
              <w:t>23</w:t>
            </w:r>
            <w:r w:rsidR="00CD0AF8">
              <w:rPr>
                <w:noProof/>
                <w:webHidden/>
              </w:rPr>
              <w:fldChar w:fldCharType="end"/>
            </w:r>
          </w:hyperlink>
        </w:p>
        <w:p w14:paraId="149BC88A" w14:textId="7498D0CB" w:rsidR="00CD0AF8" w:rsidRDefault="00000000">
          <w:pPr>
            <w:pStyle w:val="TOC2"/>
            <w:tabs>
              <w:tab w:val="right" w:leader="dot" w:pos="12950"/>
            </w:tabs>
            <w:rPr>
              <w:rFonts w:eastAsiaTheme="minorEastAsia" w:cstheme="minorBidi"/>
              <w:b w:val="0"/>
              <w:bCs w:val="0"/>
              <w:noProof/>
              <w:sz w:val="22"/>
              <w:szCs w:val="22"/>
            </w:rPr>
          </w:pPr>
          <w:hyperlink w:anchor="_Toc124254984" w:history="1">
            <w:r w:rsidR="00CD0AF8" w:rsidRPr="009C0A3A">
              <w:rPr>
                <w:rStyle w:val="Hyperlink"/>
                <w:noProof/>
                <w:highlight w:val="yellow"/>
              </w:rPr>
              <w:t>Affirmative Marketing and Outreach</w:t>
            </w:r>
            <w:r w:rsidR="00CD0AF8">
              <w:rPr>
                <w:noProof/>
                <w:webHidden/>
              </w:rPr>
              <w:tab/>
            </w:r>
            <w:r w:rsidR="00CD0AF8">
              <w:rPr>
                <w:noProof/>
                <w:webHidden/>
              </w:rPr>
              <w:fldChar w:fldCharType="begin"/>
            </w:r>
            <w:r w:rsidR="00CD0AF8">
              <w:rPr>
                <w:noProof/>
                <w:webHidden/>
              </w:rPr>
              <w:instrText xml:space="preserve"> PAGEREF _Toc124254984 \h </w:instrText>
            </w:r>
            <w:r w:rsidR="00CD0AF8">
              <w:rPr>
                <w:noProof/>
                <w:webHidden/>
              </w:rPr>
            </w:r>
            <w:r w:rsidR="00CD0AF8">
              <w:rPr>
                <w:noProof/>
                <w:webHidden/>
              </w:rPr>
              <w:fldChar w:fldCharType="separate"/>
            </w:r>
            <w:r w:rsidR="00CD0AF8">
              <w:rPr>
                <w:noProof/>
                <w:webHidden/>
              </w:rPr>
              <w:t>23</w:t>
            </w:r>
            <w:r w:rsidR="00CD0AF8">
              <w:rPr>
                <w:noProof/>
                <w:webHidden/>
              </w:rPr>
              <w:fldChar w:fldCharType="end"/>
            </w:r>
          </w:hyperlink>
        </w:p>
        <w:p w14:paraId="37690DF5" w14:textId="47D99934" w:rsidR="00CD0AF8" w:rsidRDefault="00000000">
          <w:pPr>
            <w:pStyle w:val="TOC2"/>
            <w:tabs>
              <w:tab w:val="right" w:leader="dot" w:pos="12950"/>
            </w:tabs>
            <w:rPr>
              <w:rFonts w:eastAsiaTheme="minorEastAsia" w:cstheme="minorBidi"/>
              <w:b w:val="0"/>
              <w:bCs w:val="0"/>
              <w:noProof/>
              <w:sz w:val="22"/>
              <w:szCs w:val="22"/>
            </w:rPr>
          </w:pPr>
          <w:hyperlink w:anchor="_Toc124254985" w:history="1">
            <w:r w:rsidR="00CD0AF8" w:rsidRPr="009C0A3A">
              <w:rPr>
                <w:rStyle w:val="Hyperlink"/>
                <w:noProof/>
                <w:highlight w:val="yellow"/>
              </w:rPr>
              <w:t>Emergency Services</w:t>
            </w:r>
            <w:r w:rsidR="00CD0AF8">
              <w:rPr>
                <w:noProof/>
                <w:webHidden/>
              </w:rPr>
              <w:tab/>
            </w:r>
            <w:r w:rsidR="00CD0AF8">
              <w:rPr>
                <w:noProof/>
                <w:webHidden/>
              </w:rPr>
              <w:fldChar w:fldCharType="begin"/>
            </w:r>
            <w:r w:rsidR="00CD0AF8">
              <w:rPr>
                <w:noProof/>
                <w:webHidden/>
              </w:rPr>
              <w:instrText xml:space="preserve"> PAGEREF _Toc124254985 \h </w:instrText>
            </w:r>
            <w:r w:rsidR="00CD0AF8">
              <w:rPr>
                <w:noProof/>
                <w:webHidden/>
              </w:rPr>
            </w:r>
            <w:r w:rsidR="00CD0AF8">
              <w:rPr>
                <w:noProof/>
                <w:webHidden/>
              </w:rPr>
              <w:fldChar w:fldCharType="separate"/>
            </w:r>
            <w:r w:rsidR="00CD0AF8">
              <w:rPr>
                <w:noProof/>
                <w:webHidden/>
              </w:rPr>
              <w:t>24</w:t>
            </w:r>
            <w:r w:rsidR="00CD0AF8">
              <w:rPr>
                <w:noProof/>
                <w:webHidden/>
              </w:rPr>
              <w:fldChar w:fldCharType="end"/>
            </w:r>
          </w:hyperlink>
        </w:p>
        <w:p w14:paraId="54492FD8" w14:textId="028E5174" w:rsidR="00CD0AF8" w:rsidRDefault="00000000">
          <w:pPr>
            <w:pStyle w:val="TOC2"/>
            <w:tabs>
              <w:tab w:val="right" w:leader="dot" w:pos="12950"/>
            </w:tabs>
            <w:rPr>
              <w:rFonts w:eastAsiaTheme="minorEastAsia" w:cstheme="minorBidi"/>
              <w:b w:val="0"/>
              <w:bCs w:val="0"/>
              <w:noProof/>
              <w:sz w:val="22"/>
              <w:szCs w:val="22"/>
            </w:rPr>
          </w:pPr>
          <w:hyperlink w:anchor="_Toc124254986" w:history="1">
            <w:r w:rsidR="00CD0AF8" w:rsidRPr="009C0A3A">
              <w:rPr>
                <w:rStyle w:val="Hyperlink"/>
                <w:noProof/>
                <w:highlight w:val="yellow"/>
              </w:rPr>
              <w:t>Standardized Access and Assessment</w:t>
            </w:r>
            <w:r w:rsidR="00CD0AF8">
              <w:rPr>
                <w:noProof/>
                <w:webHidden/>
              </w:rPr>
              <w:tab/>
            </w:r>
            <w:r w:rsidR="00CD0AF8">
              <w:rPr>
                <w:noProof/>
                <w:webHidden/>
              </w:rPr>
              <w:fldChar w:fldCharType="begin"/>
            </w:r>
            <w:r w:rsidR="00CD0AF8">
              <w:rPr>
                <w:noProof/>
                <w:webHidden/>
              </w:rPr>
              <w:instrText xml:space="preserve"> PAGEREF _Toc124254986 \h </w:instrText>
            </w:r>
            <w:r w:rsidR="00CD0AF8">
              <w:rPr>
                <w:noProof/>
                <w:webHidden/>
              </w:rPr>
            </w:r>
            <w:r w:rsidR="00CD0AF8">
              <w:rPr>
                <w:noProof/>
                <w:webHidden/>
              </w:rPr>
              <w:fldChar w:fldCharType="separate"/>
            </w:r>
            <w:r w:rsidR="00CD0AF8">
              <w:rPr>
                <w:noProof/>
                <w:webHidden/>
              </w:rPr>
              <w:t>25</w:t>
            </w:r>
            <w:r w:rsidR="00CD0AF8">
              <w:rPr>
                <w:noProof/>
                <w:webHidden/>
              </w:rPr>
              <w:fldChar w:fldCharType="end"/>
            </w:r>
          </w:hyperlink>
        </w:p>
        <w:p w14:paraId="16BD4205" w14:textId="1028A010" w:rsidR="00CD0AF8" w:rsidRDefault="00000000">
          <w:pPr>
            <w:pStyle w:val="TOC2"/>
            <w:tabs>
              <w:tab w:val="right" w:leader="dot" w:pos="12950"/>
            </w:tabs>
            <w:rPr>
              <w:rFonts w:eastAsiaTheme="minorEastAsia" w:cstheme="minorBidi"/>
              <w:b w:val="0"/>
              <w:bCs w:val="0"/>
              <w:noProof/>
              <w:sz w:val="22"/>
              <w:szCs w:val="22"/>
            </w:rPr>
          </w:pPr>
          <w:hyperlink w:anchor="_Toc124254987" w:history="1">
            <w:r w:rsidR="00CD0AF8" w:rsidRPr="009C0A3A">
              <w:rPr>
                <w:rStyle w:val="Hyperlink"/>
                <w:noProof/>
                <w:highlight w:val="yellow"/>
              </w:rPr>
              <w:t>Considerations for Separate Access Points</w:t>
            </w:r>
            <w:r w:rsidR="00CD0AF8">
              <w:rPr>
                <w:noProof/>
                <w:webHidden/>
              </w:rPr>
              <w:tab/>
            </w:r>
            <w:r w:rsidR="00CD0AF8">
              <w:rPr>
                <w:noProof/>
                <w:webHidden/>
              </w:rPr>
              <w:fldChar w:fldCharType="begin"/>
            </w:r>
            <w:r w:rsidR="00CD0AF8">
              <w:rPr>
                <w:noProof/>
                <w:webHidden/>
              </w:rPr>
              <w:instrText xml:space="preserve"> PAGEREF _Toc124254987 \h </w:instrText>
            </w:r>
            <w:r w:rsidR="00CD0AF8">
              <w:rPr>
                <w:noProof/>
                <w:webHidden/>
              </w:rPr>
            </w:r>
            <w:r w:rsidR="00CD0AF8">
              <w:rPr>
                <w:noProof/>
                <w:webHidden/>
              </w:rPr>
              <w:fldChar w:fldCharType="separate"/>
            </w:r>
            <w:r w:rsidR="00CD0AF8">
              <w:rPr>
                <w:noProof/>
                <w:webHidden/>
              </w:rPr>
              <w:t>26</w:t>
            </w:r>
            <w:r w:rsidR="00CD0AF8">
              <w:rPr>
                <w:noProof/>
                <w:webHidden/>
              </w:rPr>
              <w:fldChar w:fldCharType="end"/>
            </w:r>
          </w:hyperlink>
        </w:p>
        <w:p w14:paraId="759A7768" w14:textId="2776E8CB" w:rsidR="00CD0AF8" w:rsidRDefault="00000000">
          <w:pPr>
            <w:pStyle w:val="TOC2"/>
            <w:tabs>
              <w:tab w:val="right" w:leader="dot" w:pos="12950"/>
            </w:tabs>
            <w:rPr>
              <w:rFonts w:eastAsiaTheme="minorEastAsia" w:cstheme="minorBidi"/>
              <w:b w:val="0"/>
              <w:bCs w:val="0"/>
              <w:noProof/>
              <w:sz w:val="22"/>
              <w:szCs w:val="22"/>
            </w:rPr>
          </w:pPr>
          <w:hyperlink w:anchor="_Toc124254988" w:history="1">
            <w:r w:rsidR="00CD0AF8" w:rsidRPr="009C0A3A">
              <w:rPr>
                <w:rStyle w:val="Hyperlink"/>
                <w:noProof/>
                <w:highlight w:val="yellow"/>
              </w:rPr>
              <w:t>Privacy</w:t>
            </w:r>
            <w:r w:rsidR="00CD0AF8">
              <w:rPr>
                <w:noProof/>
                <w:webHidden/>
              </w:rPr>
              <w:tab/>
            </w:r>
            <w:r w:rsidR="00CD0AF8">
              <w:rPr>
                <w:noProof/>
                <w:webHidden/>
              </w:rPr>
              <w:fldChar w:fldCharType="begin"/>
            </w:r>
            <w:r w:rsidR="00CD0AF8">
              <w:rPr>
                <w:noProof/>
                <w:webHidden/>
              </w:rPr>
              <w:instrText xml:space="preserve"> PAGEREF _Toc124254988 \h </w:instrText>
            </w:r>
            <w:r w:rsidR="00CD0AF8">
              <w:rPr>
                <w:noProof/>
                <w:webHidden/>
              </w:rPr>
            </w:r>
            <w:r w:rsidR="00CD0AF8">
              <w:rPr>
                <w:noProof/>
                <w:webHidden/>
              </w:rPr>
              <w:fldChar w:fldCharType="separate"/>
            </w:r>
            <w:r w:rsidR="00CD0AF8">
              <w:rPr>
                <w:noProof/>
                <w:webHidden/>
              </w:rPr>
              <w:t>28</w:t>
            </w:r>
            <w:r w:rsidR="00CD0AF8">
              <w:rPr>
                <w:noProof/>
                <w:webHidden/>
              </w:rPr>
              <w:fldChar w:fldCharType="end"/>
            </w:r>
          </w:hyperlink>
        </w:p>
        <w:p w14:paraId="41E3B676" w14:textId="5ACF93EC" w:rsidR="00CD0AF8" w:rsidRDefault="00000000">
          <w:pPr>
            <w:pStyle w:val="TOC2"/>
            <w:tabs>
              <w:tab w:val="right" w:leader="dot" w:pos="12950"/>
            </w:tabs>
            <w:rPr>
              <w:rFonts w:eastAsiaTheme="minorEastAsia" w:cstheme="minorBidi"/>
              <w:b w:val="0"/>
              <w:bCs w:val="0"/>
              <w:noProof/>
              <w:sz w:val="22"/>
              <w:szCs w:val="22"/>
            </w:rPr>
          </w:pPr>
          <w:hyperlink w:anchor="_Toc124254989" w:history="1">
            <w:r w:rsidR="00CD0AF8" w:rsidRPr="009C0A3A">
              <w:rPr>
                <w:rStyle w:val="Hyperlink"/>
                <w:noProof/>
                <w:highlight w:val="yellow"/>
              </w:rPr>
              <w:t>Entry Points – Operational and Programmatic Practices</w:t>
            </w:r>
            <w:r w:rsidR="00CD0AF8">
              <w:rPr>
                <w:noProof/>
                <w:webHidden/>
              </w:rPr>
              <w:tab/>
            </w:r>
            <w:r w:rsidR="00CD0AF8">
              <w:rPr>
                <w:noProof/>
                <w:webHidden/>
              </w:rPr>
              <w:fldChar w:fldCharType="begin"/>
            </w:r>
            <w:r w:rsidR="00CD0AF8">
              <w:rPr>
                <w:noProof/>
                <w:webHidden/>
              </w:rPr>
              <w:instrText xml:space="preserve"> PAGEREF _Toc124254989 \h </w:instrText>
            </w:r>
            <w:r w:rsidR="00CD0AF8">
              <w:rPr>
                <w:noProof/>
                <w:webHidden/>
              </w:rPr>
            </w:r>
            <w:r w:rsidR="00CD0AF8">
              <w:rPr>
                <w:noProof/>
                <w:webHidden/>
              </w:rPr>
              <w:fldChar w:fldCharType="separate"/>
            </w:r>
            <w:r w:rsidR="00CD0AF8">
              <w:rPr>
                <w:noProof/>
                <w:webHidden/>
              </w:rPr>
              <w:t>28</w:t>
            </w:r>
            <w:r w:rsidR="00CD0AF8">
              <w:rPr>
                <w:noProof/>
                <w:webHidden/>
              </w:rPr>
              <w:fldChar w:fldCharType="end"/>
            </w:r>
          </w:hyperlink>
        </w:p>
        <w:p w14:paraId="57DB9313" w14:textId="17099FAB" w:rsidR="00CD0AF8" w:rsidRDefault="00000000">
          <w:pPr>
            <w:pStyle w:val="TOC2"/>
            <w:tabs>
              <w:tab w:val="right" w:leader="dot" w:pos="12950"/>
            </w:tabs>
            <w:rPr>
              <w:rFonts w:eastAsiaTheme="minorEastAsia" w:cstheme="minorBidi"/>
              <w:b w:val="0"/>
              <w:bCs w:val="0"/>
              <w:noProof/>
              <w:sz w:val="22"/>
              <w:szCs w:val="22"/>
            </w:rPr>
          </w:pPr>
          <w:hyperlink w:anchor="_Toc124254990" w:history="1">
            <w:r w:rsidR="00CD0AF8" w:rsidRPr="009C0A3A">
              <w:rPr>
                <w:rStyle w:val="Hyperlink"/>
                <w:noProof/>
                <w:highlight w:val="yellow"/>
              </w:rPr>
              <w:t>Pre-screening questions</w:t>
            </w:r>
            <w:r w:rsidR="00CD0AF8">
              <w:rPr>
                <w:noProof/>
                <w:webHidden/>
              </w:rPr>
              <w:tab/>
            </w:r>
            <w:r w:rsidR="00CD0AF8">
              <w:rPr>
                <w:noProof/>
                <w:webHidden/>
              </w:rPr>
              <w:fldChar w:fldCharType="begin"/>
            </w:r>
            <w:r w:rsidR="00CD0AF8">
              <w:rPr>
                <w:noProof/>
                <w:webHidden/>
              </w:rPr>
              <w:instrText xml:space="preserve"> PAGEREF _Toc124254990 \h </w:instrText>
            </w:r>
            <w:r w:rsidR="00CD0AF8">
              <w:rPr>
                <w:noProof/>
                <w:webHidden/>
              </w:rPr>
            </w:r>
            <w:r w:rsidR="00CD0AF8">
              <w:rPr>
                <w:noProof/>
                <w:webHidden/>
              </w:rPr>
              <w:fldChar w:fldCharType="separate"/>
            </w:r>
            <w:r w:rsidR="00CD0AF8">
              <w:rPr>
                <w:noProof/>
                <w:webHidden/>
              </w:rPr>
              <w:t>29</w:t>
            </w:r>
            <w:r w:rsidR="00CD0AF8">
              <w:rPr>
                <w:noProof/>
                <w:webHidden/>
              </w:rPr>
              <w:fldChar w:fldCharType="end"/>
            </w:r>
          </w:hyperlink>
        </w:p>
        <w:p w14:paraId="1DA62150" w14:textId="46D0FEC4" w:rsidR="00CD0AF8" w:rsidRDefault="00000000">
          <w:pPr>
            <w:pStyle w:val="TOC2"/>
            <w:tabs>
              <w:tab w:val="right" w:leader="dot" w:pos="12950"/>
            </w:tabs>
            <w:rPr>
              <w:rFonts w:eastAsiaTheme="minorEastAsia" w:cstheme="minorBidi"/>
              <w:b w:val="0"/>
              <w:bCs w:val="0"/>
              <w:noProof/>
              <w:sz w:val="22"/>
              <w:szCs w:val="22"/>
            </w:rPr>
          </w:pPr>
          <w:hyperlink w:anchor="_Toc124254991" w:history="1">
            <w:r w:rsidR="00CD0AF8" w:rsidRPr="009C0A3A">
              <w:rPr>
                <w:rStyle w:val="Hyperlink"/>
                <w:noProof/>
                <w:highlight w:val="yellow"/>
              </w:rPr>
              <w:t>Prevention &amp; Diversion</w:t>
            </w:r>
            <w:r w:rsidR="00CD0AF8">
              <w:rPr>
                <w:noProof/>
                <w:webHidden/>
              </w:rPr>
              <w:tab/>
            </w:r>
            <w:r w:rsidR="00CD0AF8">
              <w:rPr>
                <w:noProof/>
                <w:webHidden/>
              </w:rPr>
              <w:fldChar w:fldCharType="begin"/>
            </w:r>
            <w:r w:rsidR="00CD0AF8">
              <w:rPr>
                <w:noProof/>
                <w:webHidden/>
              </w:rPr>
              <w:instrText xml:space="preserve"> PAGEREF _Toc124254991 \h </w:instrText>
            </w:r>
            <w:r w:rsidR="00CD0AF8">
              <w:rPr>
                <w:noProof/>
                <w:webHidden/>
              </w:rPr>
            </w:r>
            <w:r w:rsidR="00CD0AF8">
              <w:rPr>
                <w:noProof/>
                <w:webHidden/>
              </w:rPr>
              <w:fldChar w:fldCharType="separate"/>
            </w:r>
            <w:r w:rsidR="00CD0AF8">
              <w:rPr>
                <w:noProof/>
                <w:webHidden/>
              </w:rPr>
              <w:t>29</w:t>
            </w:r>
            <w:r w:rsidR="00CD0AF8">
              <w:rPr>
                <w:noProof/>
                <w:webHidden/>
              </w:rPr>
              <w:fldChar w:fldCharType="end"/>
            </w:r>
          </w:hyperlink>
        </w:p>
        <w:p w14:paraId="0958B2A3" w14:textId="64101A19" w:rsidR="00CD0AF8" w:rsidRDefault="00000000">
          <w:pPr>
            <w:pStyle w:val="TOC2"/>
            <w:tabs>
              <w:tab w:val="right" w:leader="dot" w:pos="12950"/>
            </w:tabs>
            <w:rPr>
              <w:rFonts w:eastAsiaTheme="minorEastAsia" w:cstheme="minorBidi"/>
              <w:b w:val="0"/>
              <w:bCs w:val="0"/>
              <w:noProof/>
              <w:sz w:val="22"/>
              <w:szCs w:val="22"/>
            </w:rPr>
          </w:pPr>
          <w:hyperlink w:anchor="_Toc124254992" w:history="1">
            <w:r w:rsidR="00CD0AF8" w:rsidRPr="009C0A3A">
              <w:rPr>
                <w:rStyle w:val="Hyperlink"/>
                <w:noProof/>
                <w:highlight w:val="yellow"/>
              </w:rPr>
              <w:t>Category 4 – Domestic Violence</w:t>
            </w:r>
            <w:r w:rsidR="00CD0AF8">
              <w:rPr>
                <w:noProof/>
                <w:webHidden/>
              </w:rPr>
              <w:tab/>
            </w:r>
            <w:r w:rsidR="00CD0AF8">
              <w:rPr>
                <w:noProof/>
                <w:webHidden/>
              </w:rPr>
              <w:fldChar w:fldCharType="begin"/>
            </w:r>
            <w:r w:rsidR="00CD0AF8">
              <w:rPr>
                <w:noProof/>
                <w:webHidden/>
              </w:rPr>
              <w:instrText xml:space="preserve"> PAGEREF _Toc124254992 \h </w:instrText>
            </w:r>
            <w:r w:rsidR="00CD0AF8">
              <w:rPr>
                <w:noProof/>
                <w:webHidden/>
              </w:rPr>
            </w:r>
            <w:r w:rsidR="00CD0AF8">
              <w:rPr>
                <w:noProof/>
                <w:webHidden/>
              </w:rPr>
              <w:fldChar w:fldCharType="separate"/>
            </w:r>
            <w:r w:rsidR="00CD0AF8">
              <w:rPr>
                <w:noProof/>
                <w:webHidden/>
              </w:rPr>
              <w:t>29</w:t>
            </w:r>
            <w:r w:rsidR="00CD0AF8">
              <w:rPr>
                <w:noProof/>
                <w:webHidden/>
              </w:rPr>
              <w:fldChar w:fldCharType="end"/>
            </w:r>
          </w:hyperlink>
        </w:p>
        <w:p w14:paraId="2AC9D003" w14:textId="30B13818" w:rsidR="00CD0AF8" w:rsidRDefault="00000000">
          <w:pPr>
            <w:pStyle w:val="TOC2"/>
            <w:tabs>
              <w:tab w:val="right" w:leader="dot" w:pos="12950"/>
            </w:tabs>
            <w:rPr>
              <w:rFonts w:eastAsiaTheme="minorEastAsia" w:cstheme="minorBidi"/>
              <w:b w:val="0"/>
              <w:bCs w:val="0"/>
              <w:noProof/>
              <w:sz w:val="22"/>
              <w:szCs w:val="22"/>
            </w:rPr>
          </w:pPr>
          <w:hyperlink w:anchor="_Toc124254993" w:history="1">
            <w:r w:rsidR="00CD0AF8" w:rsidRPr="009C0A3A">
              <w:rPr>
                <w:rStyle w:val="Hyperlink"/>
                <w:noProof/>
                <w:highlight w:val="yellow"/>
              </w:rPr>
              <w:t>Other Households Experiencing Homelessness</w:t>
            </w:r>
            <w:r w:rsidR="00CD0AF8">
              <w:rPr>
                <w:noProof/>
                <w:webHidden/>
              </w:rPr>
              <w:tab/>
            </w:r>
            <w:r w:rsidR="00CD0AF8">
              <w:rPr>
                <w:noProof/>
                <w:webHidden/>
              </w:rPr>
              <w:fldChar w:fldCharType="begin"/>
            </w:r>
            <w:r w:rsidR="00CD0AF8">
              <w:rPr>
                <w:noProof/>
                <w:webHidden/>
              </w:rPr>
              <w:instrText xml:space="preserve"> PAGEREF _Toc124254993 \h </w:instrText>
            </w:r>
            <w:r w:rsidR="00CD0AF8">
              <w:rPr>
                <w:noProof/>
                <w:webHidden/>
              </w:rPr>
            </w:r>
            <w:r w:rsidR="00CD0AF8">
              <w:rPr>
                <w:noProof/>
                <w:webHidden/>
              </w:rPr>
              <w:fldChar w:fldCharType="separate"/>
            </w:r>
            <w:r w:rsidR="00CD0AF8">
              <w:rPr>
                <w:noProof/>
                <w:webHidden/>
              </w:rPr>
              <w:t>30</w:t>
            </w:r>
            <w:r w:rsidR="00CD0AF8">
              <w:rPr>
                <w:noProof/>
                <w:webHidden/>
              </w:rPr>
              <w:fldChar w:fldCharType="end"/>
            </w:r>
          </w:hyperlink>
        </w:p>
        <w:p w14:paraId="1B3DD0CB" w14:textId="34B858B6" w:rsidR="00CD0AF8" w:rsidRDefault="00000000">
          <w:pPr>
            <w:pStyle w:val="TOC1"/>
            <w:tabs>
              <w:tab w:val="right" w:leader="dot" w:pos="12950"/>
            </w:tabs>
            <w:rPr>
              <w:rFonts w:eastAsiaTheme="minorEastAsia" w:cstheme="minorBidi"/>
              <w:b w:val="0"/>
              <w:bCs w:val="0"/>
              <w:i w:val="0"/>
              <w:iCs w:val="0"/>
              <w:noProof/>
              <w:sz w:val="22"/>
              <w:szCs w:val="22"/>
            </w:rPr>
          </w:pPr>
          <w:hyperlink w:anchor="_Toc124254994" w:history="1">
            <w:r w:rsidR="00CD0AF8" w:rsidRPr="009C0A3A">
              <w:rPr>
                <w:rStyle w:val="Hyperlink"/>
                <w:noProof/>
                <w:highlight w:val="yellow"/>
              </w:rPr>
              <w:t>Assessment</w:t>
            </w:r>
            <w:r w:rsidR="00CD0AF8">
              <w:rPr>
                <w:noProof/>
                <w:webHidden/>
              </w:rPr>
              <w:tab/>
            </w:r>
            <w:r w:rsidR="00CD0AF8">
              <w:rPr>
                <w:noProof/>
                <w:webHidden/>
              </w:rPr>
              <w:fldChar w:fldCharType="begin"/>
            </w:r>
            <w:r w:rsidR="00CD0AF8">
              <w:rPr>
                <w:noProof/>
                <w:webHidden/>
              </w:rPr>
              <w:instrText xml:space="preserve"> PAGEREF _Toc124254994 \h </w:instrText>
            </w:r>
            <w:r w:rsidR="00CD0AF8">
              <w:rPr>
                <w:noProof/>
                <w:webHidden/>
              </w:rPr>
            </w:r>
            <w:r w:rsidR="00CD0AF8">
              <w:rPr>
                <w:noProof/>
                <w:webHidden/>
              </w:rPr>
              <w:fldChar w:fldCharType="separate"/>
            </w:r>
            <w:r w:rsidR="00CD0AF8">
              <w:rPr>
                <w:noProof/>
                <w:webHidden/>
              </w:rPr>
              <w:t>32</w:t>
            </w:r>
            <w:r w:rsidR="00CD0AF8">
              <w:rPr>
                <w:noProof/>
                <w:webHidden/>
              </w:rPr>
              <w:fldChar w:fldCharType="end"/>
            </w:r>
          </w:hyperlink>
        </w:p>
        <w:p w14:paraId="2D7FBD16" w14:textId="0ABFD102" w:rsidR="00CD0AF8" w:rsidRDefault="00000000">
          <w:pPr>
            <w:pStyle w:val="TOC2"/>
            <w:tabs>
              <w:tab w:val="right" w:leader="dot" w:pos="12950"/>
            </w:tabs>
            <w:rPr>
              <w:rFonts w:eastAsiaTheme="minorEastAsia" w:cstheme="minorBidi"/>
              <w:b w:val="0"/>
              <w:bCs w:val="0"/>
              <w:noProof/>
              <w:sz w:val="22"/>
              <w:szCs w:val="22"/>
            </w:rPr>
          </w:pPr>
          <w:hyperlink w:anchor="_Toc124254995" w:history="1">
            <w:r w:rsidR="00CD0AF8" w:rsidRPr="009C0A3A">
              <w:rPr>
                <w:rStyle w:val="Hyperlink"/>
                <w:noProof/>
                <w:highlight w:val="yellow"/>
              </w:rPr>
              <w:t>Collection of Information</w:t>
            </w:r>
            <w:r w:rsidR="00CD0AF8">
              <w:rPr>
                <w:noProof/>
                <w:webHidden/>
              </w:rPr>
              <w:tab/>
            </w:r>
            <w:r w:rsidR="00CD0AF8">
              <w:rPr>
                <w:noProof/>
                <w:webHidden/>
              </w:rPr>
              <w:fldChar w:fldCharType="begin"/>
            </w:r>
            <w:r w:rsidR="00CD0AF8">
              <w:rPr>
                <w:noProof/>
                <w:webHidden/>
              </w:rPr>
              <w:instrText xml:space="preserve"> PAGEREF _Toc124254995 \h </w:instrText>
            </w:r>
            <w:r w:rsidR="00CD0AF8">
              <w:rPr>
                <w:noProof/>
                <w:webHidden/>
              </w:rPr>
            </w:r>
            <w:r w:rsidR="00CD0AF8">
              <w:rPr>
                <w:noProof/>
                <w:webHidden/>
              </w:rPr>
              <w:fldChar w:fldCharType="separate"/>
            </w:r>
            <w:r w:rsidR="00CD0AF8">
              <w:rPr>
                <w:noProof/>
                <w:webHidden/>
              </w:rPr>
              <w:t>32</w:t>
            </w:r>
            <w:r w:rsidR="00CD0AF8">
              <w:rPr>
                <w:noProof/>
                <w:webHidden/>
              </w:rPr>
              <w:fldChar w:fldCharType="end"/>
            </w:r>
          </w:hyperlink>
        </w:p>
        <w:p w14:paraId="1885B775" w14:textId="2AC4F47D" w:rsidR="00CD0AF8" w:rsidRDefault="00000000">
          <w:pPr>
            <w:pStyle w:val="TOC2"/>
            <w:tabs>
              <w:tab w:val="right" w:leader="dot" w:pos="12950"/>
            </w:tabs>
            <w:rPr>
              <w:rFonts w:eastAsiaTheme="minorEastAsia" w:cstheme="minorBidi"/>
              <w:b w:val="0"/>
              <w:bCs w:val="0"/>
              <w:noProof/>
              <w:sz w:val="22"/>
              <w:szCs w:val="22"/>
            </w:rPr>
          </w:pPr>
          <w:hyperlink w:anchor="_Toc124254996" w:history="1">
            <w:r w:rsidR="00CD0AF8" w:rsidRPr="009C0A3A">
              <w:rPr>
                <w:rStyle w:val="Hyperlink"/>
                <w:noProof/>
                <w:highlight w:val="yellow"/>
              </w:rPr>
              <w:t>Assessment in Phases</w:t>
            </w:r>
            <w:r w:rsidR="00CD0AF8">
              <w:rPr>
                <w:noProof/>
                <w:webHidden/>
              </w:rPr>
              <w:tab/>
            </w:r>
            <w:r w:rsidR="00CD0AF8">
              <w:rPr>
                <w:noProof/>
                <w:webHidden/>
              </w:rPr>
              <w:fldChar w:fldCharType="begin"/>
            </w:r>
            <w:r w:rsidR="00CD0AF8">
              <w:rPr>
                <w:noProof/>
                <w:webHidden/>
              </w:rPr>
              <w:instrText xml:space="preserve"> PAGEREF _Toc124254996 \h </w:instrText>
            </w:r>
            <w:r w:rsidR="00CD0AF8">
              <w:rPr>
                <w:noProof/>
                <w:webHidden/>
              </w:rPr>
            </w:r>
            <w:r w:rsidR="00CD0AF8">
              <w:rPr>
                <w:noProof/>
                <w:webHidden/>
              </w:rPr>
              <w:fldChar w:fldCharType="separate"/>
            </w:r>
            <w:r w:rsidR="00CD0AF8">
              <w:rPr>
                <w:noProof/>
                <w:webHidden/>
              </w:rPr>
              <w:t>33</w:t>
            </w:r>
            <w:r w:rsidR="00CD0AF8">
              <w:rPr>
                <w:noProof/>
                <w:webHidden/>
              </w:rPr>
              <w:fldChar w:fldCharType="end"/>
            </w:r>
          </w:hyperlink>
        </w:p>
        <w:p w14:paraId="5CDBBB66" w14:textId="0B5CB7FC" w:rsidR="00CD0AF8" w:rsidRDefault="00000000">
          <w:pPr>
            <w:pStyle w:val="TOC2"/>
            <w:tabs>
              <w:tab w:val="right" w:leader="dot" w:pos="12950"/>
            </w:tabs>
            <w:rPr>
              <w:rFonts w:eastAsiaTheme="minorEastAsia" w:cstheme="minorBidi"/>
              <w:b w:val="0"/>
              <w:bCs w:val="0"/>
              <w:noProof/>
              <w:sz w:val="22"/>
              <w:szCs w:val="22"/>
            </w:rPr>
          </w:pPr>
          <w:hyperlink w:anchor="_Toc124254997" w:history="1">
            <w:r w:rsidR="00CD0AF8" w:rsidRPr="009C0A3A">
              <w:rPr>
                <w:rStyle w:val="Hyperlink"/>
                <w:noProof/>
                <w:highlight w:val="yellow"/>
              </w:rPr>
              <w:t>Prevention and Diversion</w:t>
            </w:r>
            <w:r w:rsidR="00CD0AF8">
              <w:rPr>
                <w:noProof/>
                <w:webHidden/>
              </w:rPr>
              <w:tab/>
            </w:r>
            <w:r w:rsidR="00CD0AF8">
              <w:rPr>
                <w:noProof/>
                <w:webHidden/>
              </w:rPr>
              <w:fldChar w:fldCharType="begin"/>
            </w:r>
            <w:r w:rsidR="00CD0AF8">
              <w:rPr>
                <w:noProof/>
                <w:webHidden/>
              </w:rPr>
              <w:instrText xml:space="preserve"> PAGEREF _Toc124254997 \h </w:instrText>
            </w:r>
            <w:r w:rsidR="00CD0AF8">
              <w:rPr>
                <w:noProof/>
                <w:webHidden/>
              </w:rPr>
            </w:r>
            <w:r w:rsidR="00CD0AF8">
              <w:rPr>
                <w:noProof/>
                <w:webHidden/>
              </w:rPr>
              <w:fldChar w:fldCharType="separate"/>
            </w:r>
            <w:r w:rsidR="00CD0AF8">
              <w:rPr>
                <w:noProof/>
                <w:webHidden/>
              </w:rPr>
              <w:t>34</w:t>
            </w:r>
            <w:r w:rsidR="00CD0AF8">
              <w:rPr>
                <w:noProof/>
                <w:webHidden/>
              </w:rPr>
              <w:fldChar w:fldCharType="end"/>
            </w:r>
          </w:hyperlink>
        </w:p>
        <w:p w14:paraId="74B12539" w14:textId="05658400" w:rsidR="00CD0AF8" w:rsidRDefault="00000000">
          <w:pPr>
            <w:pStyle w:val="TOC2"/>
            <w:tabs>
              <w:tab w:val="right" w:leader="dot" w:pos="12950"/>
            </w:tabs>
            <w:rPr>
              <w:rFonts w:eastAsiaTheme="minorEastAsia" w:cstheme="minorBidi"/>
              <w:b w:val="0"/>
              <w:bCs w:val="0"/>
              <w:noProof/>
              <w:sz w:val="22"/>
              <w:szCs w:val="22"/>
            </w:rPr>
          </w:pPr>
          <w:hyperlink w:anchor="_Toc124254998" w:history="1">
            <w:r w:rsidR="00CD0AF8" w:rsidRPr="009C0A3A">
              <w:rPr>
                <w:rStyle w:val="Hyperlink"/>
                <w:noProof/>
                <w:highlight w:val="yellow"/>
              </w:rPr>
              <w:t>Required Information During the Assessment Process</w:t>
            </w:r>
            <w:r w:rsidR="00CD0AF8">
              <w:rPr>
                <w:noProof/>
                <w:webHidden/>
              </w:rPr>
              <w:tab/>
            </w:r>
            <w:r w:rsidR="00CD0AF8">
              <w:rPr>
                <w:noProof/>
                <w:webHidden/>
              </w:rPr>
              <w:fldChar w:fldCharType="begin"/>
            </w:r>
            <w:r w:rsidR="00CD0AF8">
              <w:rPr>
                <w:noProof/>
                <w:webHidden/>
              </w:rPr>
              <w:instrText xml:space="preserve"> PAGEREF _Toc124254998 \h </w:instrText>
            </w:r>
            <w:r w:rsidR="00CD0AF8">
              <w:rPr>
                <w:noProof/>
                <w:webHidden/>
              </w:rPr>
            </w:r>
            <w:r w:rsidR="00CD0AF8">
              <w:rPr>
                <w:noProof/>
                <w:webHidden/>
              </w:rPr>
              <w:fldChar w:fldCharType="separate"/>
            </w:r>
            <w:r w:rsidR="00CD0AF8">
              <w:rPr>
                <w:noProof/>
                <w:webHidden/>
              </w:rPr>
              <w:t>36</w:t>
            </w:r>
            <w:r w:rsidR="00CD0AF8">
              <w:rPr>
                <w:noProof/>
                <w:webHidden/>
              </w:rPr>
              <w:fldChar w:fldCharType="end"/>
            </w:r>
          </w:hyperlink>
        </w:p>
        <w:p w14:paraId="4AEDEE7F" w14:textId="7D8E2383" w:rsidR="00CD0AF8" w:rsidRDefault="00000000">
          <w:pPr>
            <w:pStyle w:val="TOC2"/>
            <w:tabs>
              <w:tab w:val="right" w:leader="dot" w:pos="12950"/>
            </w:tabs>
            <w:rPr>
              <w:rFonts w:eastAsiaTheme="minorEastAsia" w:cstheme="minorBidi"/>
              <w:b w:val="0"/>
              <w:bCs w:val="0"/>
              <w:noProof/>
              <w:sz w:val="22"/>
              <w:szCs w:val="22"/>
            </w:rPr>
          </w:pPr>
          <w:hyperlink w:anchor="_Toc124254999" w:history="1">
            <w:r w:rsidR="00CD0AF8" w:rsidRPr="009C0A3A">
              <w:rPr>
                <w:rStyle w:val="Hyperlink"/>
                <w:noProof/>
                <w:highlight w:val="yellow"/>
              </w:rPr>
              <w:t>Practical Use of the Assessment Tool</w:t>
            </w:r>
            <w:r w:rsidR="00CD0AF8">
              <w:rPr>
                <w:noProof/>
                <w:webHidden/>
              </w:rPr>
              <w:tab/>
            </w:r>
            <w:r w:rsidR="00CD0AF8">
              <w:rPr>
                <w:noProof/>
                <w:webHidden/>
              </w:rPr>
              <w:fldChar w:fldCharType="begin"/>
            </w:r>
            <w:r w:rsidR="00CD0AF8">
              <w:rPr>
                <w:noProof/>
                <w:webHidden/>
              </w:rPr>
              <w:instrText xml:space="preserve"> PAGEREF _Toc124254999 \h </w:instrText>
            </w:r>
            <w:r w:rsidR="00CD0AF8">
              <w:rPr>
                <w:noProof/>
                <w:webHidden/>
              </w:rPr>
            </w:r>
            <w:r w:rsidR="00CD0AF8">
              <w:rPr>
                <w:noProof/>
                <w:webHidden/>
              </w:rPr>
              <w:fldChar w:fldCharType="separate"/>
            </w:r>
            <w:r w:rsidR="00CD0AF8">
              <w:rPr>
                <w:noProof/>
                <w:webHidden/>
              </w:rPr>
              <w:t>37</w:t>
            </w:r>
            <w:r w:rsidR="00CD0AF8">
              <w:rPr>
                <w:noProof/>
                <w:webHidden/>
              </w:rPr>
              <w:fldChar w:fldCharType="end"/>
            </w:r>
          </w:hyperlink>
        </w:p>
        <w:p w14:paraId="24E36278" w14:textId="47189363" w:rsidR="00CD0AF8" w:rsidRDefault="00000000">
          <w:pPr>
            <w:pStyle w:val="TOC2"/>
            <w:tabs>
              <w:tab w:val="right" w:leader="dot" w:pos="12950"/>
            </w:tabs>
            <w:rPr>
              <w:rFonts w:eastAsiaTheme="minorEastAsia" w:cstheme="minorBidi"/>
              <w:b w:val="0"/>
              <w:bCs w:val="0"/>
              <w:noProof/>
              <w:sz w:val="22"/>
              <w:szCs w:val="22"/>
            </w:rPr>
          </w:pPr>
          <w:hyperlink w:anchor="_Toc124255000" w:history="1">
            <w:r w:rsidR="00CD0AF8" w:rsidRPr="009C0A3A">
              <w:rPr>
                <w:rStyle w:val="Hyperlink"/>
                <w:noProof/>
                <w:highlight w:val="yellow"/>
              </w:rPr>
              <w:t>Contact Information</w:t>
            </w:r>
            <w:r w:rsidR="00CD0AF8">
              <w:rPr>
                <w:noProof/>
                <w:webHidden/>
              </w:rPr>
              <w:tab/>
            </w:r>
            <w:r w:rsidR="00CD0AF8">
              <w:rPr>
                <w:noProof/>
                <w:webHidden/>
              </w:rPr>
              <w:fldChar w:fldCharType="begin"/>
            </w:r>
            <w:r w:rsidR="00CD0AF8">
              <w:rPr>
                <w:noProof/>
                <w:webHidden/>
              </w:rPr>
              <w:instrText xml:space="preserve"> PAGEREF _Toc124255000 \h </w:instrText>
            </w:r>
            <w:r w:rsidR="00CD0AF8">
              <w:rPr>
                <w:noProof/>
                <w:webHidden/>
              </w:rPr>
            </w:r>
            <w:r w:rsidR="00CD0AF8">
              <w:rPr>
                <w:noProof/>
                <w:webHidden/>
              </w:rPr>
              <w:fldChar w:fldCharType="separate"/>
            </w:r>
            <w:r w:rsidR="00CD0AF8">
              <w:rPr>
                <w:noProof/>
                <w:webHidden/>
              </w:rPr>
              <w:t>37</w:t>
            </w:r>
            <w:r w:rsidR="00CD0AF8">
              <w:rPr>
                <w:noProof/>
                <w:webHidden/>
              </w:rPr>
              <w:fldChar w:fldCharType="end"/>
            </w:r>
          </w:hyperlink>
        </w:p>
        <w:p w14:paraId="42455163" w14:textId="7F618A9D" w:rsidR="00CD0AF8" w:rsidRDefault="00000000">
          <w:pPr>
            <w:pStyle w:val="TOC2"/>
            <w:tabs>
              <w:tab w:val="right" w:leader="dot" w:pos="12950"/>
            </w:tabs>
            <w:rPr>
              <w:rFonts w:eastAsiaTheme="minorEastAsia" w:cstheme="minorBidi"/>
              <w:b w:val="0"/>
              <w:bCs w:val="0"/>
              <w:noProof/>
              <w:sz w:val="22"/>
              <w:szCs w:val="22"/>
            </w:rPr>
          </w:pPr>
          <w:hyperlink w:anchor="_Toc124255001" w:history="1">
            <w:r w:rsidR="00CD0AF8" w:rsidRPr="009C0A3A">
              <w:rPr>
                <w:rStyle w:val="Hyperlink"/>
                <w:noProof/>
                <w:highlight w:val="yellow"/>
              </w:rPr>
              <w:t>Assessment in Phases</w:t>
            </w:r>
            <w:r w:rsidR="00CD0AF8">
              <w:rPr>
                <w:noProof/>
                <w:webHidden/>
              </w:rPr>
              <w:tab/>
            </w:r>
            <w:r w:rsidR="00CD0AF8">
              <w:rPr>
                <w:noProof/>
                <w:webHidden/>
              </w:rPr>
              <w:fldChar w:fldCharType="begin"/>
            </w:r>
            <w:r w:rsidR="00CD0AF8">
              <w:rPr>
                <w:noProof/>
                <w:webHidden/>
              </w:rPr>
              <w:instrText xml:space="preserve"> PAGEREF _Toc124255001 \h </w:instrText>
            </w:r>
            <w:r w:rsidR="00CD0AF8">
              <w:rPr>
                <w:noProof/>
                <w:webHidden/>
              </w:rPr>
            </w:r>
            <w:r w:rsidR="00CD0AF8">
              <w:rPr>
                <w:noProof/>
                <w:webHidden/>
              </w:rPr>
              <w:fldChar w:fldCharType="separate"/>
            </w:r>
            <w:r w:rsidR="00CD0AF8">
              <w:rPr>
                <w:noProof/>
                <w:webHidden/>
              </w:rPr>
              <w:t>38</w:t>
            </w:r>
            <w:r w:rsidR="00CD0AF8">
              <w:rPr>
                <w:noProof/>
                <w:webHidden/>
              </w:rPr>
              <w:fldChar w:fldCharType="end"/>
            </w:r>
          </w:hyperlink>
        </w:p>
        <w:p w14:paraId="78501ADA" w14:textId="5EF359B7" w:rsidR="00CD0AF8" w:rsidRDefault="00000000">
          <w:pPr>
            <w:pStyle w:val="TOC2"/>
            <w:tabs>
              <w:tab w:val="right" w:leader="dot" w:pos="12950"/>
            </w:tabs>
            <w:rPr>
              <w:rFonts w:eastAsiaTheme="minorEastAsia" w:cstheme="minorBidi"/>
              <w:b w:val="0"/>
              <w:bCs w:val="0"/>
              <w:noProof/>
              <w:sz w:val="22"/>
              <w:szCs w:val="22"/>
            </w:rPr>
          </w:pPr>
          <w:hyperlink w:anchor="_Toc124255002" w:history="1">
            <w:r w:rsidR="00CD0AF8" w:rsidRPr="009C0A3A">
              <w:rPr>
                <w:rStyle w:val="Hyperlink"/>
                <w:noProof/>
                <w:highlight w:val="yellow"/>
              </w:rPr>
              <w:t>Assessment Script</w:t>
            </w:r>
            <w:r w:rsidR="00CD0AF8">
              <w:rPr>
                <w:noProof/>
                <w:webHidden/>
              </w:rPr>
              <w:tab/>
            </w:r>
            <w:r w:rsidR="00CD0AF8">
              <w:rPr>
                <w:noProof/>
                <w:webHidden/>
              </w:rPr>
              <w:fldChar w:fldCharType="begin"/>
            </w:r>
            <w:r w:rsidR="00CD0AF8">
              <w:rPr>
                <w:noProof/>
                <w:webHidden/>
              </w:rPr>
              <w:instrText xml:space="preserve"> PAGEREF _Toc124255002 \h </w:instrText>
            </w:r>
            <w:r w:rsidR="00CD0AF8">
              <w:rPr>
                <w:noProof/>
                <w:webHidden/>
              </w:rPr>
            </w:r>
            <w:r w:rsidR="00CD0AF8">
              <w:rPr>
                <w:noProof/>
                <w:webHidden/>
              </w:rPr>
              <w:fldChar w:fldCharType="separate"/>
            </w:r>
            <w:r w:rsidR="00CD0AF8">
              <w:rPr>
                <w:noProof/>
                <w:webHidden/>
              </w:rPr>
              <w:t>38</w:t>
            </w:r>
            <w:r w:rsidR="00CD0AF8">
              <w:rPr>
                <w:noProof/>
                <w:webHidden/>
              </w:rPr>
              <w:fldChar w:fldCharType="end"/>
            </w:r>
          </w:hyperlink>
        </w:p>
        <w:p w14:paraId="34231FDF" w14:textId="46AFEBFB" w:rsidR="00CD0AF8" w:rsidRDefault="00000000">
          <w:pPr>
            <w:pStyle w:val="TOC2"/>
            <w:tabs>
              <w:tab w:val="right" w:leader="dot" w:pos="12950"/>
            </w:tabs>
            <w:rPr>
              <w:rFonts w:eastAsiaTheme="minorEastAsia" w:cstheme="minorBidi"/>
              <w:b w:val="0"/>
              <w:bCs w:val="0"/>
              <w:noProof/>
              <w:sz w:val="22"/>
              <w:szCs w:val="22"/>
            </w:rPr>
          </w:pPr>
          <w:hyperlink w:anchor="_Toc124255003" w:history="1">
            <w:r w:rsidR="00CD0AF8" w:rsidRPr="009C0A3A">
              <w:rPr>
                <w:rStyle w:val="Hyperlink"/>
                <w:noProof/>
                <w:highlight w:val="yellow"/>
              </w:rPr>
              <w:t>Participant Autonomy</w:t>
            </w:r>
            <w:r w:rsidR="00CD0AF8">
              <w:rPr>
                <w:noProof/>
                <w:webHidden/>
              </w:rPr>
              <w:tab/>
            </w:r>
            <w:r w:rsidR="00CD0AF8">
              <w:rPr>
                <w:noProof/>
                <w:webHidden/>
              </w:rPr>
              <w:fldChar w:fldCharType="begin"/>
            </w:r>
            <w:r w:rsidR="00CD0AF8">
              <w:rPr>
                <w:noProof/>
                <w:webHidden/>
              </w:rPr>
              <w:instrText xml:space="preserve"> PAGEREF _Toc124255003 \h </w:instrText>
            </w:r>
            <w:r w:rsidR="00CD0AF8">
              <w:rPr>
                <w:noProof/>
                <w:webHidden/>
              </w:rPr>
            </w:r>
            <w:r w:rsidR="00CD0AF8">
              <w:rPr>
                <w:noProof/>
                <w:webHidden/>
              </w:rPr>
              <w:fldChar w:fldCharType="separate"/>
            </w:r>
            <w:r w:rsidR="00CD0AF8">
              <w:rPr>
                <w:noProof/>
                <w:webHidden/>
              </w:rPr>
              <w:t>39</w:t>
            </w:r>
            <w:r w:rsidR="00CD0AF8">
              <w:rPr>
                <w:noProof/>
                <w:webHidden/>
              </w:rPr>
              <w:fldChar w:fldCharType="end"/>
            </w:r>
          </w:hyperlink>
        </w:p>
        <w:p w14:paraId="428A7F75" w14:textId="03A58921" w:rsidR="00CD0AF8" w:rsidRDefault="00000000">
          <w:pPr>
            <w:pStyle w:val="TOC2"/>
            <w:tabs>
              <w:tab w:val="right" w:leader="dot" w:pos="12950"/>
            </w:tabs>
            <w:rPr>
              <w:rFonts w:eastAsiaTheme="minorEastAsia" w:cstheme="minorBidi"/>
              <w:b w:val="0"/>
              <w:bCs w:val="0"/>
              <w:noProof/>
              <w:sz w:val="22"/>
              <w:szCs w:val="22"/>
            </w:rPr>
          </w:pPr>
          <w:hyperlink w:anchor="_Toc124255004" w:history="1">
            <w:r w:rsidR="00CD0AF8" w:rsidRPr="009C0A3A">
              <w:rPr>
                <w:rStyle w:val="Hyperlink"/>
                <w:noProof/>
                <w:highlight w:val="yellow"/>
              </w:rPr>
              <w:t>Assessment Training</w:t>
            </w:r>
            <w:r w:rsidR="00CD0AF8">
              <w:rPr>
                <w:noProof/>
                <w:webHidden/>
              </w:rPr>
              <w:tab/>
            </w:r>
            <w:r w:rsidR="00CD0AF8">
              <w:rPr>
                <w:noProof/>
                <w:webHidden/>
              </w:rPr>
              <w:fldChar w:fldCharType="begin"/>
            </w:r>
            <w:r w:rsidR="00CD0AF8">
              <w:rPr>
                <w:noProof/>
                <w:webHidden/>
              </w:rPr>
              <w:instrText xml:space="preserve"> PAGEREF _Toc124255004 \h </w:instrText>
            </w:r>
            <w:r w:rsidR="00CD0AF8">
              <w:rPr>
                <w:noProof/>
                <w:webHidden/>
              </w:rPr>
            </w:r>
            <w:r w:rsidR="00CD0AF8">
              <w:rPr>
                <w:noProof/>
                <w:webHidden/>
              </w:rPr>
              <w:fldChar w:fldCharType="separate"/>
            </w:r>
            <w:r w:rsidR="00CD0AF8">
              <w:rPr>
                <w:noProof/>
                <w:webHidden/>
              </w:rPr>
              <w:t>40</w:t>
            </w:r>
            <w:r w:rsidR="00CD0AF8">
              <w:rPr>
                <w:noProof/>
                <w:webHidden/>
              </w:rPr>
              <w:fldChar w:fldCharType="end"/>
            </w:r>
          </w:hyperlink>
        </w:p>
        <w:p w14:paraId="5648965A" w14:textId="3CFD03FE" w:rsidR="00CD0AF8" w:rsidRDefault="00000000">
          <w:pPr>
            <w:pStyle w:val="TOC2"/>
            <w:tabs>
              <w:tab w:val="right" w:leader="dot" w:pos="12950"/>
            </w:tabs>
            <w:rPr>
              <w:rFonts w:eastAsiaTheme="minorEastAsia" w:cstheme="minorBidi"/>
              <w:b w:val="0"/>
              <w:bCs w:val="0"/>
              <w:noProof/>
              <w:sz w:val="22"/>
              <w:szCs w:val="22"/>
            </w:rPr>
          </w:pPr>
          <w:hyperlink w:anchor="_Toc124255005" w:history="1">
            <w:r w:rsidR="00CD0AF8" w:rsidRPr="009C0A3A">
              <w:rPr>
                <w:rStyle w:val="Hyperlink"/>
                <w:noProof/>
                <w:highlight w:val="yellow"/>
              </w:rPr>
              <w:t>HMIS Data Entry</w:t>
            </w:r>
            <w:r w:rsidR="00CD0AF8">
              <w:rPr>
                <w:noProof/>
                <w:webHidden/>
              </w:rPr>
              <w:tab/>
            </w:r>
            <w:r w:rsidR="00CD0AF8">
              <w:rPr>
                <w:noProof/>
                <w:webHidden/>
              </w:rPr>
              <w:fldChar w:fldCharType="begin"/>
            </w:r>
            <w:r w:rsidR="00CD0AF8">
              <w:rPr>
                <w:noProof/>
                <w:webHidden/>
              </w:rPr>
              <w:instrText xml:space="preserve"> PAGEREF _Toc124255005 \h </w:instrText>
            </w:r>
            <w:r w:rsidR="00CD0AF8">
              <w:rPr>
                <w:noProof/>
                <w:webHidden/>
              </w:rPr>
            </w:r>
            <w:r w:rsidR="00CD0AF8">
              <w:rPr>
                <w:noProof/>
                <w:webHidden/>
              </w:rPr>
              <w:fldChar w:fldCharType="separate"/>
            </w:r>
            <w:r w:rsidR="00CD0AF8">
              <w:rPr>
                <w:noProof/>
                <w:webHidden/>
              </w:rPr>
              <w:t>41</w:t>
            </w:r>
            <w:r w:rsidR="00CD0AF8">
              <w:rPr>
                <w:noProof/>
                <w:webHidden/>
              </w:rPr>
              <w:fldChar w:fldCharType="end"/>
            </w:r>
          </w:hyperlink>
        </w:p>
        <w:p w14:paraId="39BCD549" w14:textId="3150E14C" w:rsidR="00CD0AF8" w:rsidRDefault="00000000">
          <w:pPr>
            <w:pStyle w:val="TOC1"/>
            <w:tabs>
              <w:tab w:val="right" w:leader="dot" w:pos="12950"/>
            </w:tabs>
            <w:rPr>
              <w:rFonts w:eastAsiaTheme="minorEastAsia" w:cstheme="minorBidi"/>
              <w:b w:val="0"/>
              <w:bCs w:val="0"/>
              <w:i w:val="0"/>
              <w:iCs w:val="0"/>
              <w:noProof/>
              <w:sz w:val="22"/>
              <w:szCs w:val="22"/>
            </w:rPr>
          </w:pPr>
          <w:hyperlink w:anchor="_Toc124255006" w:history="1">
            <w:r w:rsidR="00CD0AF8" w:rsidRPr="009C0A3A">
              <w:rPr>
                <w:rStyle w:val="Hyperlink"/>
                <w:noProof/>
                <w:highlight w:val="yellow"/>
              </w:rPr>
              <w:t>Prioritization</w:t>
            </w:r>
            <w:r w:rsidR="00CD0AF8">
              <w:rPr>
                <w:noProof/>
                <w:webHidden/>
              </w:rPr>
              <w:tab/>
            </w:r>
            <w:r w:rsidR="00CD0AF8">
              <w:rPr>
                <w:noProof/>
                <w:webHidden/>
              </w:rPr>
              <w:fldChar w:fldCharType="begin"/>
            </w:r>
            <w:r w:rsidR="00CD0AF8">
              <w:rPr>
                <w:noProof/>
                <w:webHidden/>
              </w:rPr>
              <w:instrText xml:space="preserve"> PAGEREF _Toc124255006 \h </w:instrText>
            </w:r>
            <w:r w:rsidR="00CD0AF8">
              <w:rPr>
                <w:noProof/>
                <w:webHidden/>
              </w:rPr>
            </w:r>
            <w:r w:rsidR="00CD0AF8">
              <w:rPr>
                <w:noProof/>
                <w:webHidden/>
              </w:rPr>
              <w:fldChar w:fldCharType="separate"/>
            </w:r>
            <w:r w:rsidR="00CD0AF8">
              <w:rPr>
                <w:noProof/>
                <w:webHidden/>
              </w:rPr>
              <w:t>42</w:t>
            </w:r>
            <w:r w:rsidR="00CD0AF8">
              <w:rPr>
                <w:noProof/>
                <w:webHidden/>
              </w:rPr>
              <w:fldChar w:fldCharType="end"/>
            </w:r>
          </w:hyperlink>
        </w:p>
        <w:p w14:paraId="1C4F1C27" w14:textId="2497674B" w:rsidR="00CD0AF8" w:rsidRDefault="00000000">
          <w:pPr>
            <w:pStyle w:val="TOC2"/>
            <w:tabs>
              <w:tab w:val="right" w:leader="dot" w:pos="12950"/>
            </w:tabs>
            <w:rPr>
              <w:rFonts w:eastAsiaTheme="minorEastAsia" w:cstheme="minorBidi"/>
              <w:b w:val="0"/>
              <w:bCs w:val="0"/>
              <w:noProof/>
              <w:sz w:val="22"/>
              <w:szCs w:val="22"/>
            </w:rPr>
          </w:pPr>
          <w:hyperlink w:anchor="_Toc124255007" w:history="1">
            <w:r w:rsidR="00CD0AF8" w:rsidRPr="009C0A3A">
              <w:rPr>
                <w:rStyle w:val="Hyperlink"/>
                <w:noProof/>
                <w:highlight w:val="yellow"/>
              </w:rPr>
              <w:t>Requirements</w:t>
            </w:r>
            <w:r w:rsidR="00CD0AF8">
              <w:rPr>
                <w:noProof/>
                <w:webHidden/>
              </w:rPr>
              <w:tab/>
            </w:r>
            <w:r w:rsidR="00CD0AF8">
              <w:rPr>
                <w:noProof/>
                <w:webHidden/>
              </w:rPr>
              <w:fldChar w:fldCharType="begin"/>
            </w:r>
            <w:r w:rsidR="00CD0AF8">
              <w:rPr>
                <w:noProof/>
                <w:webHidden/>
              </w:rPr>
              <w:instrText xml:space="preserve"> PAGEREF _Toc124255007 \h </w:instrText>
            </w:r>
            <w:r w:rsidR="00CD0AF8">
              <w:rPr>
                <w:noProof/>
                <w:webHidden/>
              </w:rPr>
            </w:r>
            <w:r w:rsidR="00CD0AF8">
              <w:rPr>
                <w:noProof/>
                <w:webHidden/>
              </w:rPr>
              <w:fldChar w:fldCharType="separate"/>
            </w:r>
            <w:r w:rsidR="00CD0AF8">
              <w:rPr>
                <w:noProof/>
                <w:webHidden/>
              </w:rPr>
              <w:t>42</w:t>
            </w:r>
            <w:r w:rsidR="00CD0AF8">
              <w:rPr>
                <w:noProof/>
                <w:webHidden/>
              </w:rPr>
              <w:fldChar w:fldCharType="end"/>
            </w:r>
          </w:hyperlink>
        </w:p>
        <w:p w14:paraId="21F7B459" w14:textId="66FF5CB8" w:rsidR="00CD0AF8" w:rsidRDefault="00000000">
          <w:pPr>
            <w:pStyle w:val="TOC2"/>
            <w:tabs>
              <w:tab w:val="right" w:leader="dot" w:pos="12950"/>
            </w:tabs>
            <w:rPr>
              <w:rFonts w:eastAsiaTheme="minorEastAsia" w:cstheme="minorBidi"/>
              <w:b w:val="0"/>
              <w:bCs w:val="0"/>
              <w:noProof/>
              <w:sz w:val="22"/>
              <w:szCs w:val="22"/>
            </w:rPr>
          </w:pPr>
          <w:hyperlink w:anchor="_Toc124255008" w:history="1">
            <w:r w:rsidR="00CD0AF8" w:rsidRPr="009C0A3A">
              <w:rPr>
                <w:rStyle w:val="Hyperlink"/>
                <w:noProof/>
                <w:highlight w:val="yellow"/>
              </w:rPr>
              <w:t>Prioritization Scheme</w:t>
            </w:r>
            <w:r w:rsidR="00CD0AF8">
              <w:rPr>
                <w:noProof/>
                <w:webHidden/>
              </w:rPr>
              <w:tab/>
            </w:r>
            <w:r w:rsidR="00CD0AF8">
              <w:rPr>
                <w:noProof/>
                <w:webHidden/>
              </w:rPr>
              <w:fldChar w:fldCharType="begin"/>
            </w:r>
            <w:r w:rsidR="00CD0AF8">
              <w:rPr>
                <w:noProof/>
                <w:webHidden/>
              </w:rPr>
              <w:instrText xml:space="preserve"> PAGEREF _Toc124255008 \h </w:instrText>
            </w:r>
            <w:r w:rsidR="00CD0AF8">
              <w:rPr>
                <w:noProof/>
                <w:webHidden/>
              </w:rPr>
            </w:r>
            <w:r w:rsidR="00CD0AF8">
              <w:rPr>
                <w:noProof/>
                <w:webHidden/>
              </w:rPr>
              <w:fldChar w:fldCharType="separate"/>
            </w:r>
            <w:r w:rsidR="00CD0AF8">
              <w:rPr>
                <w:noProof/>
                <w:webHidden/>
              </w:rPr>
              <w:t>42</w:t>
            </w:r>
            <w:r w:rsidR="00CD0AF8">
              <w:rPr>
                <w:noProof/>
                <w:webHidden/>
              </w:rPr>
              <w:fldChar w:fldCharType="end"/>
            </w:r>
          </w:hyperlink>
        </w:p>
        <w:p w14:paraId="36CE8C4E" w14:textId="7E1A7D21" w:rsidR="00CD0AF8" w:rsidRDefault="00000000">
          <w:pPr>
            <w:pStyle w:val="TOC2"/>
            <w:tabs>
              <w:tab w:val="right" w:leader="dot" w:pos="12950"/>
            </w:tabs>
            <w:rPr>
              <w:rFonts w:eastAsiaTheme="minorEastAsia" w:cstheme="minorBidi"/>
              <w:b w:val="0"/>
              <w:bCs w:val="0"/>
              <w:noProof/>
              <w:sz w:val="22"/>
              <w:szCs w:val="22"/>
            </w:rPr>
          </w:pPr>
          <w:hyperlink w:anchor="_Toc124255009" w:history="1">
            <w:r w:rsidR="00CD0AF8" w:rsidRPr="009C0A3A">
              <w:rPr>
                <w:rStyle w:val="Hyperlink"/>
                <w:noProof/>
                <w:highlight w:val="yellow"/>
              </w:rPr>
              <w:t>Managing the Priority List</w:t>
            </w:r>
            <w:r w:rsidR="00CD0AF8">
              <w:rPr>
                <w:noProof/>
                <w:webHidden/>
              </w:rPr>
              <w:tab/>
            </w:r>
            <w:r w:rsidR="00CD0AF8">
              <w:rPr>
                <w:noProof/>
                <w:webHidden/>
              </w:rPr>
              <w:fldChar w:fldCharType="begin"/>
            </w:r>
            <w:r w:rsidR="00CD0AF8">
              <w:rPr>
                <w:noProof/>
                <w:webHidden/>
              </w:rPr>
              <w:instrText xml:space="preserve"> PAGEREF _Toc124255009 \h </w:instrText>
            </w:r>
            <w:r w:rsidR="00CD0AF8">
              <w:rPr>
                <w:noProof/>
                <w:webHidden/>
              </w:rPr>
            </w:r>
            <w:r w:rsidR="00CD0AF8">
              <w:rPr>
                <w:noProof/>
                <w:webHidden/>
              </w:rPr>
              <w:fldChar w:fldCharType="separate"/>
            </w:r>
            <w:r w:rsidR="00CD0AF8">
              <w:rPr>
                <w:noProof/>
                <w:webHidden/>
              </w:rPr>
              <w:t>43</w:t>
            </w:r>
            <w:r w:rsidR="00CD0AF8">
              <w:rPr>
                <w:noProof/>
                <w:webHidden/>
              </w:rPr>
              <w:fldChar w:fldCharType="end"/>
            </w:r>
          </w:hyperlink>
        </w:p>
        <w:p w14:paraId="2CE95B3D" w14:textId="7AB1A93F" w:rsidR="00CD0AF8" w:rsidRDefault="00000000">
          <w:pPr>
            <w:pStyle w:val="TOC2"/>
            <w:tabs>
              <w:tab w:val="right" w:leader="dot" w:pos="12950"/>
            </w:tabs>
            <w:rPr>
              <w:rFonts w:eastAsiaTheme="minorEastAsia" w:cstheme="minorBidi"/>
              <w:b w:val="0"/>
              <w:bCs w:val="0"/>
              <w:noProof/>
              <w:sz w:val="22"/>
              <w:szCs w:val="22"/>
            </w:rPr>
          </w:pPr>
          <w:hyperlink w:anchor="_Toc124255010" w:history="1">
            <w:r w:rsidR="00CD0AF8" w:rsidRPr="009C0A3A">
              <w:rPr>
                <w:rStyle w:val="Hyperlink"/>
                <w:noProof/>
                <w:highlight w:val="yellow"/>
              </w:rPr>
              <w:t>Document Ready</w:t>
            </w:r>
            <w:r w:rsidR="00CD0AF8">
              <w:rPr>
                <w:noProof/>
                <w:webHidden/>
              </w:rPr>
              <w:tab/>
            </w:r>
            <w:r w:rsidR="00CD0AF8">
              <w:rPr>
                <w:noProof/>
                <w:webHidden/>
              </w:rPr>
              <w:fldChar w:fldCharType="begin"/>
            </w:r>
            <w:r w:rsidR="00CD0AF8">
              <w:rPr>
                <w:noProof/>
                <w:webHidden/>
              </w:rPr>
              <w:instrText xml:space="preserve"> PAGEREF _Toc124255010 \h </w:instrText>
            </w:r>
            <w:r w:rsidR="00CD0AF8">
              <w:rPr>
                <w:noProof/>
                <w:webHidden/>
              </w:rPr>
            </w:r>
            <w:r w:rsidR="00CD0AF8">
              <w:rPr>
                <w:noProof/>
                <w:webHidden/>
              </w:rPr>
              <w:fldChar w:fldCharType="separate"/>
            </w:r>
            <w:r w:rsidR="00CD0AF8">
              <w:rPr>
                <w:noProof/>
                <w:webHidden/>
              </w:rPr>
              <w:t>46</w:t>
            </w:r>
            <w:r w:rsidR="00CD0AF8">
              <w:rPr>
                <w:noProof/>
                <w:webHidden/>
              </w:rPr>
              <w:fldChar w:fldCharType="end"/>
            </w:r>
          </w:hyperlink>
        </w:p>
        <w:p w14:paraId="0F5DF0E8" w14:textId="59D2FD6F" w:rsidR="00CD0AF8" w:rsidRDefault="00000000">
          <w:pPr>
            <w:pStyle w:val="TOC1"/>
            <w:tabs>
              <w:tab w:val="right" w:leader="dot" w:pos="12950"/>
            </w:tabs>
            <w:rPr>
              <w:rFonts w:eastAsiaTheme="minorEastAsia" w:cstheme="minorBidi"/>
              <w:b w:val="0"/>
              <w:bCs w:val="0"/>
              <w:i w:val="0"/>
              <w:iCs w:val="0"/>
              <w:noProof/>
              <w:sz w:val="22"/>
              <w:szCs w:val="22"/>
            </w:rPr>
          </w:pPr>
          <w:hyperlink w:anchor="_Toc124255011" w:history="1">
            <w:r w:rsidR="00CD0AF8" w:rsidRPr="009C0A3A">
              <w:rPr>
                <w:rStyle w:val="Hyperlink"/>
                <w:noProof/>
                <w:highlight w:val="yellow"/>
              </w:rPr>
              <w:t>Matching and Referral</w:t>
            </w:r>
            <w:r w:rsidR="00CD0AF8">
              <w:rPr>
                <w:noProof/>
                <w:webHidden/>
              </w:rPr>
              <w:tab/>
            </w:r>
            <w:r w:rsidR="00CD0AF8">
              <w:rPr>
                <w:noProof/>
                <w:webHidden/>
              </w:rPr>
              <w:fldChar w:fldCharType="begin"/>
            </w:r>
            <w:r w:rsidR="00CD0AF8">
              <w:rPr>
                <w:noProof/>
                <w:webHidden/>
              </w:rPr>
              <w:instrText xml:space="preserve"> PAGEREF _Toc124255011 \h </w:instrText>
            </w:r>
            <w:r w:rsidR="00CD0AF8">
              <w:rPr>
                <w:noProof/>
                <w:webHidden/>
              </w:rPr>
            </w:r>
            <w:r w:rsidR="00CD0AF8">
              <w:rPr>
                <w:noProof/>
                <w:webHidden/>
              </w:rPr>
              <w:fldChar w:fldCharType="separate"/>
            </w:r>
            <w:r w:rsidR="00CD0AF8">
              <w:rPr>
                <w:noProof/>
                <w:webHidden/>
              </w:rPr>
              <w:t>47</w:t>
            </w:r>
            <w:r w:rsidR="00CD0AF8">
              <w:rPr>
                <w:noProof/>
                <w:webHidden/>
              </w:rPr>
              <w:fldChar w:fldCharType="end"/>
            </w:r>
          </w:hyperlink>
        </w:p>
        <w:p w14:paraId="21EF9B2C" w14:textId="4C37CBF3" w:rsidR="00CD0AF8" w:rsidRDefault="00000000">
          <w:pPr>
            <w:pStyle w:val="TOC2"/>
            <w:tabs>
              <w:tab w:val="right" w:leader="dot" w:pos="12950"/>
            </w:tabs>
            <w:rPr>
              <w:rFonts w:eastAsiaTheme="minorEastAsia" w:cstheme="minorBidi"/>
              <w:b w:val="0"/>
              <w:bCs w:val="0"/>
              <w:noProof/>
              <w:sz w:val="22"/>
              <w:szCs w:val="22"/>
            </w:rPr>
          </w:pPr>
          <w:hyperlink w:anchor="_Toc124255012" w:history="1">
            <w:r w:rsidR="00CD0AF8" w:rsidRPr="009C0A3A">
              <w:rPr>
                <w:rStyle w:val="Hyperlink"/>
                <w:noProof/>
                <w:highlight w:val="yellow"/>
              </w:rPr>
              <w:t>General Information</w:t>
            </w:r>
            <w:r w:rsidR="00CD0AF8">
              <w:rPr>
                <w:noProof/>
                <w:webHidden/>
              </w:rPr>
              <w:tab/>
            </w:r>
            <w:r w:rsidR="00CD0AF8">
              <w:rPr>
                <w:noProof/>
                <w:webHidden/>
              </w:rPr>
              <w:fldChar w:fldCharType="begin"/>
            </w:r>
            <w:r w:rsidR="00CD0AF8">
              <w:rPr>
                <w:noProof/>
                <w:webHidden/>
              </w:rPr>
              <w:instrText xml:space="preserve"> PAGEREF _Toc124255012 \h </w:instrText>
            </w:r>
            <w:r w:rsidR="00CD0AF8">
              <w:rPr>
                <w:noProof/>
                <w:webHidden/>
              </w:rPr>
            </w:r>
            <w:r w:rsidR="00CD0AF8">
              <w:rPr>
                <w:noProof/>
                <w:webHidden/>
              </w:rPr>
              <w:fldChar w:fldCharType="separate"/>
            </w:r>
            <w:r w:rsidR="00CD0AF8">
              <w:rPr>
                <w:noProof/>
                <w:webHidden/>
              </w:rPr>
              <w:t>47</w:t>
            </w:r>
            <w:r w:rsidR="00CD0AF8">
              <w:rPr>
                <w:noProof/>
                <w:webHidden/>
              </w:rPr>
              <w:fldChar w:fldCharType="end"/>
            </w:r>
          </w:hyperlink>
        </w:p>
        <w:p w14:paraId="0020A4E1" w14:textId="30B04BD9" w:rsidR="00CD0AF8" w:rsidRDefault="00000000">
          <w:pPr>
            <w:pStyle w:val="TOC2"/>
            <w:tabs>
              <w:tab w:val="right" w:leader="dot" w:pos="12950"/>
            </w:tabs>
            <w:rPr>
              <w:rFonts w:eastAsiaTheme="minorEastAsia" w:cstheme="minorBidi"/>
              <w:b w:val="0"/>
              <w:bCs w:val="0"/>
              <w:noProof/>
              <w:sz w:val="22"/>
              <w:szCs w:val="22"/>
            </w:rPr>
          </w:pPr>
          <w:hyperlink w:anchor="_Toc124255013" w:history="1">
            <w:r w:rsidR="00CD0AF8" w:rsidRPr="009C0A3A">
              <w:rPr>
                <w:rStyle w:val="Hyperlink"/>
                <w:noProof/>
                <w:highlight w:val="yellow"/>
              </w:rPr>
              <w:t>Determining Program Eligibility</w:t>
            </w:r>
            <w:r w:rsidR="00CD0AF8">
              <w:rPr>
                <w:noProof/>
                <w:webHidden/>
              </w:rPr>
              <w:tab/>
            </w:r>
            <w:r w:rsidR="00CD0AF8">
              <w:rPr>
                <w:noProof/>
                <w:webHidden/>
              </w:rPr>
              <w:fldChar w:fldCharType="begin"/>
            </w:r>
            <w:r w:rsidR="00CD0AF8">
              <w:rPr>
                <w:noProof/>
                <w:webHidden/>
              </w:rPr>
              <w:instrText xml:space="preserve"> PAGEREF _Toc124255013 \h </w:instrText>
            </w:r>
            <w:r w:rsidR="00CD0AF8">
              <w:rPr>
                <w:noProof/>
                <w:webHidden/>
              </w:rPr>
            </w:r>
            <w:r w:rsidR="00CD0AF8">
              <w:rPr>
                <w:noProof/>
                <w:webHidden/>
              </w:rPr>
              <w:fldChar w:fldCharType="separate"/>
            </w:r>
            <w:r w:rsidR="00CD0AF8">
              <w:rPr>
                <w:noProof/>
                <w:webHidden/>
              </w:rPr>
              <w:t>47</w:t>
            </w:r>
            <w:r w:rsidR="00CD0AF8">
              <w:rPr>
                <w:noProof/>
                <w:webHidden/>
              </w:rPr>
              <w:fldChar w:fldCharType="end"/>
            </w:r>
          </w:hyperlink>
        </w:p>
        <w:p w14:paraId="7F62008F" w14:textId="1902C022" w:rsidR="00CD0AF8" w:rsidRDefault="00000000">
          <w:pPr>
            <w:pStyle w:val="TOC2"/>
            <w:tabs>
              <w:tab w:val="right" w:leader="dot" w:pos="12950"/>
            </w:tabs>
            <w:rPr>
              <w:rFonts w:eastAsiaTheme="minorEastAsia" w:cstheme="minorBidi"/>
              <w:b w:val="0"/>
              <w:bCs w:val="0"/>
              <w:noProof/>
              <w:sz w:val="22"/>
              <w:szCs w:val="22"/>
            </w:rPr>
          </w:pPr>
          <w:hyperlink w:anchor="_Toc124255014" w:history="1">
            <w:r w:rsidR="00CD0AF8" w:rsidRPr="009C0A3A">
              <w:rPr>
                <w:rStyle w:val="Hyperlink"/>
                <w:noProof/>
                <w:highlight w:val="yellow"/>
              </w:rPr>
              <w:t>Case Conferencing</w:t>
            </w:r>
            <w:r w:rsidR="00CD0AF8">
              <w:rPr>
                <w:noProof/>
                <w:webHidden/>
              </w:rPr>
              <w:tab/>
            </w:r>
            <w:r w:rsidR="00CD0AF8">
              <w:rPr>
                <w:noProof/>
                <w:webHidden/>
              </w:rPr>
              <w:fldChar w:fldCharType="begin"/>
            </w:r>
            <w:r w:rsidR="00CD0AF8">
              <w:rPr>
                <w:noProof/>
                <w:webHidden/>
              </w:rPr>
              <w:instrText xml:space="preserve"> PAGEREF _Toc124255014 \h </w:instrText>
            </w:r>
            <w:r w:rsidR="00CD0AF8">
              <w:rPr>
                <w:noProof/>
                <w:webHidden/>
              </w:rPr>
            </w:r>
            <w:r w:rsidR="00CD0AF8">
              <w:rPr>
                <w:noProof/>
                <w:webHidden/>
              </w:rPr>
              <w:fldChar w:fldCharType="separate"/>
            </w:r>
            <w:r w:rsidR="00CD0AF8">
              <w:rPr>
                <w:noProof/>
                <w:webHidden/>
              </w:rPr>
              <w:t>48</w:t>
            </w:r>
            <w:r w:rsidR="00CD0AF8">
              <w:rPr>
                <w:noProof/>
                <w:webHidden/>
              </w:rPr>
              <w:fldChar w:fldCharType="end"/>
            </w:r>
          </w:hyperlink>
        </w:p>
        <w:p w14:paraId="6DBC7053" w14:textId="6D5B8C43" w:rsidR="00CD0AF8" w:rsidRDefault="00000000">
          <w:pPr>
            <w:pStyle w:val="TOC2"/>
            <w:tabs>
              <w:tab w:val="right" w:leader="dot" w:pos="12950"/>
            </w:tabs>
            <w:rPr>
              <w:rFonts w:eastAsiaTheme="minorEastAsia" w:cstheme="minorBidi"/>
              <w:b w:val="0"/>
              <w:bCs w:val="0"/>
              <w:noProof/>
              <w:sz w:val="22"/>
              <w:szCs w:val="22"/>
            </w:rPr>
          </w:pPr>
          <w:hyperlink w:anchor="_Toc124255015" w:history="1">
            <w:r w:rsidR="00CD0AF8" w:rsidRPr="009C0A3A">
              <w:rPr>
                <w:rStyle w:val="Hyperlink"/>
                <w:noProof/>
                <w:highlight w:val="yellow"/>
              </w:rPr>
              <w:t>When Appropriate Beds are Not Available</w:t>
            </w:r>
            <w:r w:rsidR="00CD0AF8">
              <w:rPr>
                <w:noProof/>
                <w:webHidden/>
              </w:rPr>
              <w:tab/>
            </w:r>
            <w:r w:rsidR="00CD0AF8">
              <w:rPr>
                <w:noProof/>
                <w:webHidden/>
              </w:rPr>
              <w:fldChar w:fldCharType="begin"/>
            </w:r>
            <w:r w:rsidR="00CD0AF8">
              <w:rPr>
                <w:noProof/>
                <w:webHidden/>
              </w:rPr>
              <w:instrText xml:space="preserve"> PAGEREF _Toc124255015 \h </w:instrText>
            </w:r>
            <w:r w:rsidR="00CD0AF8">
              <w:rPr>
                <w:noProof/>
                <w:webHidden/>
              </w:rPr>
            </w:r>
            <w:r w:rsidR="00CD0AF8">
              <w:rPr>
                <w:noProof/>
                <w:webHidden/>
              </w:rPr>
              <w:fldChar w:fldCharType="separate"/>
            </w:r>
            <w:r w:rsidR="00CD0AF8">
              <w:rPr>
                <w:noProof/>
                <w:webHidden/>
              </w:rPr>
              <w:t>49</w:t>
            </w:r>
            <w:r w:rsidR="00CD0AF8">
              <w:rPr>
                <w:noProof/>
                <w:webHidden/>
              </w:rPr>
              <w:fldChar w:fldCharType="end"/>
            </w:r>
          </w:hyperlink>
        </w:p>
        <w:p w14:paraId="712E0A79" w14:textId="42E04B83" w:rsidR="00CD0AF8" w:rsidRDefault="00000000">
          <w:pPr>
            <w:pStyle w:val="TOC2"/>
            <w:tabs>
              <w:tab w:val="right" w:leader="dot" w:pos="12950"/>
            </w:tabs>
            <w:rPr>
              <w:rFonts w:eastAsiaTheme="minorEastAsia" w:cstheme="minorBidi"/>
              <w:b w:val="0"/>
              <w:bCs w:val="0"/>
              <w:noProof/>
              <w:sz w:val="22"/>
              <w:szCs w:val="22"/>
            </w:rPr>
          </w:pPr>
          <w:hyperlink w:anchor="_Toc124255016" w:history="1">
            <w:r w:rsidR="00CD0AF8" w:rsidRPr="009C0A3A">
              <w:rPr>
                <w:rStyle w:val="Hyperlink"/>
                <w:noProof/>
                <w:highlight w:val="yellow"/>
              </w:rPr>
              <w:t>When Households are Difficult to Locate or Refuse Housing</w:t>
            </w:r>
            <w:r w:rsidR="00CD0AF8">
              <w:rPr>
                <w:noProof/>
                <w:webHidden/>
              </w:rPr>
              <w:tab/>
            </w:r>
            <w:r w:rsidR="00CD0AF8">
              <w:rPr>
                <w:noProof/>
                <w:webHidden/>
              </w:rPr>
              <w:fldChar w:fldCharType="begin"/>
            </w:r>
            <w:r w:rsidR="00CD0AF8">
              <w:rPr>
                <w:noProof/>
                <w:webHidden/>
              </w:rPr>
              <w:instrText xml:space="preserve"> PAGEREF _Toc124255016 \h </w:instrText>
            </w:r>
            <w:r w:rsidR="00CD0AF8">
              <w:rPr>
                <w:noProof/>
                <w:webHidden/>
              </w:rPr>
            </w:r>
            <w:r w:rsidR="00CD0AF8">
              <w:rPr>
                <w:noProof/>
                <w:webHidden/>
              </w:rPr>
              <w:fldChar w:fldCharType="separate"/>
            </w:r>
            <w:r w:rsidR="00CD0AF8">
              <w:rPr>
                <w:noProof/>
                <w:webHidden/>
              </w:rPr>
              <w:t>50</w:t>
            </w:r>
            <w:r w:rsidR="00CD0AF8">
              <w:rPr>
                <w:noProof/>
                <w:webHidden/>
              </w:rPr>
              <w:fldChar w:fldCharType="end"/>
            </w:r>
          </w:hyperlink>
        </w:p>
        <w:p w14:paraId="0E54BA92" w14:textId="7D6D7CD9" w:rsidR="00CD0AF8" w:rsidRDefault="00000000">
          <w:pPr>
            <w:pStyle w:val="TOC2"/>
            <w:tabs>
              <w:tab w:val="right" w:leader="dot" w:pos="12950"/>
            </w:tabs>
            <w:rPr>
              <w:rFonts w:eastAsiaTheme="minorEastAsia" w:cstheme="minorBidi"/>
              <w:b w:val="0"/>
              <w:bCs w:val="0"/>
              <w:noProof/>
              <w:sz w:val="22"/>
              <w:szCs w:val="22"/>
            </w:rPr>
          </w:pPr>
          <w:hyperlink w:anchor="_Toc124255017" w:history="1">
            <w:r w:rsidR="00CD0AF8" w:rsidRPr="009C0A3A">
              <w:rPr>
                <w:rStyle w:val="Hyperlink"/>
                <w:noProof/>
                <w:highlight w:val="yellow"/>
              </w:rPr>
              <w:t>When Programs Reject a Household</w:t>
            </w:r>
            <w:r w:rsidR="00CD0AF8">
              <w:rPr>
                <w:noProof/>
                <w:webHidden/>
              </w:rPr>
              <w:tab/>
            </w:r>
            <w:r w:rsidR="00CD0AF8">
              <w:rPr>
                <w:noProof/>
                <w:webHidden/>
              </w:rPr>
              <w:fldChar w:fldCharType="begin"/>
            </w:r>
            <w:r w:rsidR="00CD0AF8">
              <w:rPr>
                <w:noProof/>
                <w:webHidden/>
              </w:rPr>
              <w:instrText xml:space="preserve"> PAGEREF _Toc124255017 \h </w:instrText>
            </w:r>
            <w:r w:rsidR="00CD0AF8">
              <w:rPr>
                <w:noProof/>
                <w:webHidden/>
              </w:rPr>
            </w:r>
            <w:r w:rsidR="00CD0AF8">
              <w:rPr>
                <w:noProof/>
                <w:webHidden/>
              </w:rPr>
              <w:fldChar w:fldCharType="separate"/>
            </w:r>
            <w:r w:rsidR="00CD0AF8">
              <w:rPr>
                <w:noProof/>
                <w:webHidden/>
              </w:rPr>
              <w:t>51</w:t>
            </w:r>
            <w:r w:rsidR="00CD0AF8">
              <w:rPr>
                <w:noProof/>
                <w:webHidden/>
              </w:rPr>
              <w:fldChar w:fldCharType="end"/>
            </w:r>
          </w:hyperlink>
        </w:p>
        <w:p w14:paraId="63863B31" w14:textId="0E8294E1" w:rsidR="00CD0AF8" w:rsidRDefault="00000000">
          <w:pPr>
            <w:pStyle w:val="TOC2"/>
            <w:tabs>
              <w:tab w:val="right" w:leader="dot" w:pos="12950"/>
            </w:tabs>
            <w:rPr>
              <w:rFonts w:eastAsiaTheme="minorEastAsia" w:cstheme="minorBidi"/>
              <w:b w:val="0"/>
              <w:bCs w:val="0"/>
              <w:noProof/>
              <w:sz w:val="22"/>
              <w:szCs w:val="22"/>
            </w:rPr>
          </w:pPr>
          <w:hyperlink w:anchor="_Toc124255018" w:history="1">
            <w:r w:rsidR="00CD0AF8" w:rsidRPr="009C0A3A">
              <w:rPr>
                <w:rStyle w:val="Hyperlink"/>
                <w:noProof/>
                <w:highlight w:val="yellow"/>
              </w:rPr>
              <w:t>Incorporating Mainstream Services</w:t>
            </w:r>
            <w:r w:rsidR="00CD0AF8">
              <w:rPr>
                <w:noProof/>
                <w:webHidden/>
              </w:rPr>
              <w:tab/>
            </w:r>
            <w:r w:rsidR="00CD0AF8">
              <w:rPr>
                <w:noProof/>
                <w:webHidden/>
              </w:rPr>
              <w:fldChar w:fldCharType="begin"/>
            </w:r>
            <w:r w:rsidR="00CD0AF8">
              <w:rPr>
                <w:noProof/>
                <w:webHidden/>
              </w:rPr>
              <w:instrText xml:space="preserve"> PAGEREF _Toc124255018 \h </w:instrText>
            </w:r>
            <w:r w:rsidR="00CD0AF8">
              <w:rPr>
                <w:noProof/>
                <w:webHidden/>
              </w:rPr>
            </w:r>
            <w:r w:rsidR="00CD0AF8">
              <w:rPr>
                <w:noProof/>
                <w:webHidden/>
              </w:rPr>
              <w:fldChar w:fldCharType="separate"/>
            </w:r>
            <w:r w:rsidR="00CD0AF8">
              <w:rPr>
                <w:noProof/>
                <w:webHidden/>
              </w:rPr>
              <w:t>52</w:t>
            </w:r>
            <w:r w:rsidR="00CD0AF8">
              <w:rPr>
                <w:noProof/>
                <w:webHidden/>
              </w:rPr>
              <w:fldChar w:fldCharType="end"/>
            </w:r>
          </w:hyperlink>
        </w:p>
        <w:p w14:paraId="2F99C3EF" w14:textId="53DB5BD9" w:rsidR="00CD0AF8" w:rsidRDefault="00000000">
          <w:pPr>
            <w:pStyle w:val="TOC1"/>
            <w:tabs>
              <w:tab w:val="right" w:leader="dot" w:pos="12950"/>
            </w:tabs>
            <w:rPr>
              <w:rFonts w:eastAsiaTheme="minorEastAsia" w:cstheme="minorBidi"/>
              <w:b w:val="0"/>
              <w:bCs w:val="0"/>
              <w:i w:val="0"/>
              <w:iCs w:val="0"/>
              <w:noProof/>
              <w:sz w:val="22"/>
              <w:szCs w:val="22"/>
            </w:rPr>
          </w:pPr>
          <w:hyperlink w:anchor="_Toc124255019" w:history="1">
            <w:r w:rsidR="00CD0AF8" w:rsidRPr="009C0A3A">
              <w:rPr>
                <w:rStyle w:val="Hyperlink"/>
                <w:noProof/>
                <w:highlight w:val="yellow"/>
              </w:rPr>
              <w:t>Safety Planning</w:t>
            </w:r>
            <w:r w:rsidR="00CD0AF8">
              <w:rPr>
                <w:noProof/>
                <w:webHidden/>
              </w:rPr>
              <w:tab/>
            </w:r>
            <w:r w:rsidR="00CD0AF8">
              <w:rPr>
                <w:noProof/>
                <w:webHidden/>
              </w:rPr>
              <w:fldChar w:fldCharType="begin"/>
            </w:r>
            <w:r w:rsidR="00CD0AF8">
              <w:rPr>
                <w:noProof/>
                <w:webHidden/>
              </w:rPr>
              <w:instrText xml:space="preserve"> PAGEREF _Toc124255019 \h </w:instrText>
            </w:r>
            <w:r w:rsidR="00CD0AF8">
              <w:rPr>
                <w:noProof/>
                <w:webHidden/>
              </w:rPr>
            </w:r>
            <w:r w:rsidR="00CD0AF8">
              <w:rPr>
                <w:noProof/>
                <w:webHidden/>
              </w:rPr>
              <w:fldChar w:fldCharType="separate"/>
            </w:r>
            <w:r w:rsidR="00CD0AF8">
              <w:rPr>
                <w:noProof/>
                <w:webHidden/>
              </w:rPr>
              <w:t>53</w:t>
            </w:r>
            <w:r w:rsidR="00CD0AF8">
              <w:rPr>
                <w:noProof/>
                <w:webHidden/>
              </w:rPr>
              <w:fldChar w:fldCharType="end"/>
            </w:r>
          </w:hyperlink>
        </w:p>
        <w:p w14:paraId="38FE6857" w14:textId="2B26C0DC" w:rsidR="00CD0AF8" w:rsidRDefault="00000000">
          <w:pPr>
            <w:pStyle w:val="TOC2"/>
            <w:tabs>
              <w:tab w:val="right" w:leader="dot" w:pos="12950"/>
            </w:tabs>
            <w:rPr>
              <w:rFonts w:eastAsiaTheme="minorEastAsia" w:cstheme="minorBidi"/>
              <w:b w:val="0"/>
              <w:bCs w:val="0"/>
              <w:noProof/>
              <w:sz w:val="22"/>
              <w:szCs w:val="22"/>
            </w:rPr>
          </w:pPr>
          <w:hyperlink w:anchor="_Toc124255020" w:history="1">
            <w:r w:rsidR="00CD0AF8" w:rsidRPr="009C0A3A">
              <w:rPr>
                <w:rStyle w:val="Hyperlink"/>
                <w:noProof/>
                <w:highlight w:val="yellow"/>
              </w:rPr>
              <w:t>Category 4</w:t>
            </w:r>
            <w:r w:rsidR="00CD0AF8">
              <w:rPr>
                <w:noProof/>
                <w:webHidden/>
              </w:rPr>
              <w:tab/>
            </w:r>
            <w:r w:rsidR="00CD0AF8">
              <w:rPr>
                <w:noProof/>
                <w:webHidden/>
              </w:rPr>
              <w:fldChar w:fldCharType="begin"/>
            </w:r>
            <w:r w:rsidR="00CD0AF8">
              <w:rPr>
                <w:noProof/>
                <w:webHidden/>
              </w:rPr>
              <w:instrText xml:space="preserve"> PAGEREF _Toc124255020 \h </w:instrText>
            </w:r>
            <w:r w:rsidR="00CD0AF8">
              <w:rPr>
                <w:noProof/>
                <w:webHidden/>
              </w:rPr>
            </w:r>
            <w:r w:rsidR="00CD0AF8">
              <w:rPr>
                <w:noProof/>
                <w:webHidden/>
              </w:rPr>
              <w:fldChar w:fldCharType="separate"/>
            </w:r>
            <w:r w:rsidR="00CD0AF8">
              <w:rPr>
                <w:noProof/>
                <w:webHidden/>
              </w:rPr>
              <w:t>53</w:t>
            </w:r>
            <w:r w:rsidR="00CD0AF8">
              <w:rPr>
                <w:noProof/>
                <w:webHidden/>
              </w:rPr>
              <w:fldChar w:fldCharType="end"/>
            </w:r>
          </w:hyperlink>
        </w:p>
        <w:p w14:paraId="12F59425" w14:textId="5FC5649B" w:rsidR="00CD0AF8" w:rsidRDefault="00000000">
          <w:pPr>
            <w:pStyle w:val="TOC2"/>
            <w:tabs>
              <w:tab w:val="right" w:leader="dot" w:pos="12950"/>
            </w:tabs>
            <w:rPr>
              <w:rFonts w:eastAsiaTheme="minorEastAsia" w:cstheme="minorBidi"/>
              <w:b w:val="0"/>
              <w:bCs w:val="0"/>
              <w:noProof/>
              <w:sz w:val="22"/>
              <w:szCs w:val="22"/>
            </w:rPr>
          </w:pPr>
          <w:hyperlink w:anchor="_Toc124255021" w:history="1">
            <w:r w:rsidR="00CD0AF8" w:rsidRPr="009C0A3A">
              <w:rPr>
                <w:rStyle w:val="Hyperlink"/>
                <w:noProof/>
                <w:highlight w:val="yellow"/>
              </w:rPr>
              <w:t>Privacy and Data Security Protections</w:t>
            </w:r>
            <w:r w:rsidR="00CD0AF8">
              <w:rPr>
                <w:noProof/>
                <w:webHidden/>
              </w:rPr>
              <w:tab/>
            </w:r>
            <w:r w:rsidR="00CD0AF8">
              <w:rPr>
                <w:noProof/>
                <w:webHidden/>
              </w:rPr>
              <w:fldChar w:fldCharType="begin"/>
            </w:r>
            <w:r w:rsidR="00CD0AF8">
              <w:rPr>
                <w:noProof/>
                <w:webHidden/>
              </w:rPr>
              <w:instrText xml:space="preserve"> PAGEREF _Toc124255021 \h </w:instrText>
            </w:r>
            <w:r w:rsidR="00CD0AF8">
              <w:rPr>
                <w:noProof/>
                <w:webHidden/>
              </w:rPr>
            </w:r>
            <w:r w:rsidR="00CD0AF8">
              <w:rPr>
                <w:noProof/>
                <w:webHidden/>
              </w:rPr>
              <w:fldChar w:fldCharType="separate"/>
            </w:r>
            <w:r w:rsidR="00CD0AF8">
              <w:rPr>
                <w:noProof/>
                <w:webHidden/>
              </w:rPr>
              <w:t>53</w:t>
            </w:r>
            <w:r w:rsidR="00CD0AF8">
              <w:rPr>
                <w:noProof/>
                <w:webHidden/>
              </w:rPr>
              <w:fldChar w:fldCharType="end"/>
            </w:r>
          </w:hyperlink>
        </w:p>
        <w:p w14:paraId="72410E4E" w14:textId="790B5916" w:rsidR="00CD0AF8" w:rsidRDefault="00000000">
          <w:pPr>
            <w:pStyle w:val="TOC2"/>
            <w:tabs>
              <w:tab w:val="right" w:leader="dot" w:pos="12950"/>
            </w:tabs>
            <w:rPr>
              <w:rFonts w:eastAsiaTheme="minorEastAsia" w:cstheme="minorBidi"/>
              <w:b w:val="0"/>
              <w:bCs w:val="0"/>
              <w:noProof/>
              <w:sz w:val="22"/>
              <w:szCs w:val="22"/>
            </w:rPr>
          </w:pPr>
          <w:hyperlink w:anchor="_Toc124255022" w:history="1">
            <w:r w:rsidR="00CD0AF8" w:rsidRPr="009C0A3A">
              <w:rPr>
                <w:rStyle w:val="Hyperlink"/>
                <w:noProof/>
                <w:highlight w:val="yellow"/>
              </w:rPr>
              <w:t>Documentation</w:t>
            </w:r>
            <w:r w:rsidR="00CD0AF8">
              <w:rPr>
                <w:noProof/>
                <w:webHidden/>
              </w:rPr>
              <w:tab/>
            </w:r>
            <w:r w:rsidR="00CD0AF8">
              <w:rPr>
                <w:noProof/>
                <w:webHidden/>
              </w:rPr>
              <w:fldChar w:fldCharType="begin"/>
            </w:r>
            <w:r w:rsidR="00CD0AF8">
              <w:rPr>
                <w:noProof/>
                <w:webHidden/>
              </w:rPr>
              <w:instrText xml:space="preserve"> PAGEREF _Toc124255022 \h </w:instrText>
            </w:r>
            <w:r w:rsidR="00CD0AF8">
              <w:rPr>
                <w:noProof/>
                <w:webHidden/>
              </w:rPr>
            </w:r>
            <w:r w:rsidR="00CD0AF8">
              <w:rPr>
                <w:noProof/>
                <w:webHidden/>
              </w:rPr>
              <w:fldChar w:fldCharType="separate"/>
            </w:r>
            <w:r w:rsidR="00CD0AF8">
              <w:rPr>
                <w:noProof/>
                <w:webHidden/>
              </w:rPr>
              <w:t>54</w:t>
            </w:r>
            <w:r w:rsidR="00CD0AF8">
              <w:rPr>
                <w:noProof/>
                <w:webHidden/>
              </w:rPr>
              <w:fldChar w:fldCharType="end"/>
            </w:r>
          </w:hyperlink>
        </w:p>
        <w:p w14:paraId="44CEAF63" w14:textId="2121D91E" w:rsidR="00CD0AF8" w:rsidRDefault="00000000">
          <w:pPr>
            <w:pStyle w:val="TOC2"/>
            <w:tabs>
              <w:tab w:val="right" w:leader="dot" w:pos="12950"/>
            </w:tabs>
            <w:rPr>
              <w:rFonts w:eastAsiaTheme="minorEastAsia" w:cstheme="minorBidi"/>
              <w:b w:val="0"/>
              <w:bCs w:val="0"/>
              <w:noProof/>
              <w:sz w:val="22"/>
              <w:szCs w:val="22"/>
            </w:rPr>
          </w:pPr>
          <w:hyperlink w:anchor="_Toc124255023" w:history="1">
            <w:r w:rsidR="00CD0AF8" w:rsidRPr="009C0A3A">
              <w:rPr>
                <w:rStyle w:val="Hyperlink"/>
                <w:noProof/>
                <w:highlight w:val="yellow"/>
              </w:rPr>
              <w:t>System Entry</w:t>
            </w:r>
            <w:r w:rsidR="00CD0AF8">
              <w:rPr>
                <w:noProof/>
                <w:webHidden/>
              </w:rPr>
              <w:tab/>
            </w:r>
            <w:r w:rsidR="00CD0AF8">
              <w:rPr>
                <w:noProof/>
                <w:webHidden/>
              </w:rPr>
              <w:fldChar w:fldCharType="begin"/>
            </w:r>
            <w:r w:rsidR="00CD0AF8">
              <w:rPr>
                <w:noProof/>
                <w:webHidden/>
              </w:rPr>
              <w:instrText xml:space="preserve"> PAGEREF _Toc124255023 \h </w:instrText>
            </w:r>
            <w:r w:rsidR="00CD0AF8">
              <w:rPr>
                <w:noProof/>
                <w:webHidden/>
              </w:rPr>
            </w:r>
            <w:r w:rsidR="00CD0AF8">
              <w:rPr>
                <w:noProof/>
                <w:webHidden/>
              </w:rPr>
              <w:fldChar w:fldCharType="separate"/>
            </w:r>
            <w:r w:rsidR="00CD0AF8">
              <w:rPr>
                <w:noProof/>
                <w:webHidden/>
              </w:rPr>
              <w:t>54</w:t>
            </w:r>
            <w:r w:rsidR="00CD0AF8">
              <w:rPr>
                <w:noProof/>
                <w:webHidden/>
              </w:rPr>
              <w:fldChar w:fldCharType="end"/>
            </w:r>
          </w:hyperlink>
        </w:p>
        <w:p w14:paraId="482B35EB" w14:textId="70CE34DA" w:rsidR="00CD0AF8" w:rsidRDefault="00000000">
          <w:pPr>
            <w:pStyle w:val="TOC2"/>
            <w:tabs>
              <w:tab w:val="right" w:leader="dot" w:pos="12950"/>
            </w:tabs>
            <w:rPr>
              <w:rFonts w:eastAsiaTheme="minorEastAsia" w:cstheme="minorBidi"/>
              <w:b w:val="0"/>
              <w:bCs w:val="0"/>
              <w:noProof/>
              <w:sz w:val="22"/>
              <w:szCs w:val="22"/>
            </w:rPr>
          </w:pPr>
          <w:hyperlink w:anchor="_Toc124255024" w:history="1">
            <w:r w:rsidR="00CD0AF8" w:rsidRPr="009C0A3A">
              <w:rPr>
                <w:rStyle w:val="Hyperlink"/>
                <w:noProof/>
                <w:highlight w:val="yellow"/>
              </w:rPr>
              <w:t>Assessment</w:t>
            </w:r>
            <w:r w:rsidR="00CD0AF8">
              <w:rPr>
                <w:noProof/>
                <w:webHidden/>
              </w:rPr>
              <w:tab/>
            </w:r>
            <w:r w:rsidR="00CD0AF8">
              <w:rPr>
                <w:noProof/>
                <w:webHidden/>
              </w:rPr>
              <w:fldChar w:fldCharType="begin"/>
            </w:r>
            <w:r w:rsidR="00CD0AF8">
              <w:rPr>
                <w:noProof/>
                <w:webHidden/>
              </w:rPr>
              <w:instrText xml:space="preserve"> PAGEREF _Toc124255024 \h </w:instrText>
            </w:r>
            <w:r w:rsidR="00CD0AF8">
              <w:rPr>
                <w:noProof/>
                <w:webHidden/>
              </w:rPr>
            </w:r>
            <w:r w:rsidR="00CD0AF8">
              <w:rPr>
                <w:noProof/>
                <w:webHidden/>
              </w:rPr>
              <w:fldChar w:fldCharType="separate"/>
            </w:r>
            <w:r w:rsidR="00CD0AF8">
              <w:rPr>
                <w:noProof/>
                <w:webHidden/>
              </w:rPr>
              <w:t>55</w:t>
            </w:r>
            <w:r w:rsidR="00CD0AF8">
              <w:rPr>
                <w:noProof/>
                <w:webHidden/>
              </w:rPr>
              <w:fldChar w:fldCharType="end"/>
            </w:r>
          </w:hyperlink>
        </w:p>
        <w:p w14:paraId="3CC040C1" w14:textId="4336B09D" w:rsidR="00CD0AF8" w:rsidRDefault="00000000">
          <w:pPr>
            <w:pStyle w:val="TOC2"/>
            <w:tabs>
              <w:tab w:val="right" w:leader="dot" w:pos="12950"/>
            </w:tabs>
            <w:rPr>
              <w:rFonts w:eastAsiaTheme="minorEastAsia" w:cstheme="minorBidi"/>
              <w:b w:val="0"/>
              <w:bCs w:val="0"/>
              <w:noProof/>
              <w:sz w:val="22"/>
              <w:szCs w:val="22"/>
            </w:rPr>
          </w:pPr>
          <w:hyperlink w:anchor="_Toc124255025" w:history="1">
            <w:r w:rsidR="00CD0AF8" w:rsidRPr="009C0A3A">
              <w:rPr>
                <w:rStyle w:val="Hyperlink"/>
                <w:noProof/>
                <w:highlight w:val="yellow"/>
              </w:rPr>
              <w:t>Prioritization</w:t>
            </w:r>
            <w:r w:rsidR="00CD0AF8">
              <w:rPr>
                <w:noProof/>
                <w:webHidden/>
              </w:rPr>
              <w:tab/>
            </w:r>
            <w:r w:rsidR="00CD0AF8">
              <w:rPr>
                <w:noProof/>
                <w:webHidden/>
              </w:rPr>
              <w:fldChar w:fldCharType="begin"/>
            </w:r>
            <w:r w:rsidR="00CD0AF8">
              <w:rPr>
                <w:noProof/>
                <w:webHidden/>
              </w:rPr>
              <w:instrText xml:space="preserve"> PAGEREF _Toc124255025 \h </w:instrText>
            </w:r>
            <w:r w:rsidR="00CD0AF8">
              <w:rPr>
                <w:noProof/>
                <w:webHidden/>
              </w:rPr>
            </w:r>
            <w:r w:rsidR="00CD0AF8">
              <w:rPr>
                <w:noProof/>
                <w:webHidden/>
              </w:rPr>
              <w:fldChar w:fldCharType="separate"/>
            </w:r>
            <w:r w:rsidR="00CD0AF8">
              <w:rPr>
                <w:noProof/>
                <w:webHidden/>
              </w:rPr>
              <w:t>56</w:t>
            </w:r>
            <w:r w:rsidR="00CD0AF8">
              <w:rPr>
                <w:noProof/>
                <w:webHidden/>
              </w:rPr>
              <w:fldChar w:fldCharType="end"/>
            </w:r>
          </w:hyperlink>
        </w:p>
        <w:p w14:paraId="3680F16C" w14:textId="753EA255" w:rsidR="00CD0AF8" w:rsidRDefault="00000000">
          <w:pPr>
            <w:pStyle w:val="TOC2"/>
            <w:tabs>
              <w:tab w:val="right" w:leader="dot" w:pos="12950"/>
            </w:tabs>
            <w:rPr>
              <w:rFonts w:eastAsiaTheme="minorEastAsia" w:cstheme="minorBidi"/>
              <w:b w:val="0"/>
              <w:bCs w:val="0"/>
              <w:noProof/>
              <w:sz w:val="22"/>
              <w:szCs w:val="22"/>
            </w:rPr>
          </w:pPr>
          <w:hyperlink w:anchor="_Toc124255026" w:history="1">
            <w:r w:rsidR="00CD0AF8" w:rsidRPr="009C0A3A">
              <w:rPr>
                <w:rStyle w:val="Hyperlink"/>
                <w:noProof/>
                <w:highlight w:val="yellow"/>
              </w:rPr>
              <w:t>Matching</w:t>
            </w:r>
            <w:r w:rsidR="00CD0AF8">
              <w:rPr>
                <w:noProof/>
                <w:webHidden/>
              </w:rPr>
              <w:tab/>
            </w:r>
            <w:r w:rsidR="00CD0AF8">
              <w:rPr>
                <w:noProof/>
                <w:webHidden/>
              </w:rPr>
              <w:fldChar w:fldCharType="begin"/>
            </w:r>
            <w:r w:rsidR="00CD0AF8">
              <w:rPr>
                <w:noProof/>
                <w:webHidden/>
              </w:rPr>
              <w:instrText xml:space="preserve"> PAGEREF _Toc124255026 \h </w:instrText>
            </w:r>
            <w:r w:rsidR="00CD0AF8">
              <w:rPr>
                <w:noProof/>
                <w:webHidden/>
              </w:rPr>
            </w:r>
            <w:r w:rsidR="00CD0AF8">
              <w:rPr>
                <w:noProof/>
                <w:webHidden/>
              </w:rPr>
              <w:fldChar w:fldCharType="separate"/>
            </w:r>
            <w:r w:rsidR="00CD0AF8">
              <w:rPr>
                <w:noProof/>
                <w:webHidden/>
              </w:rPr>
              <w:t>56</w:t>
            </w:r>
            <w:r w:rsidR="00CD0AF8">
              <w:rPr>
                <w:noProof/>
                <w:webHidden/>
              </w:rPr>
              <w:fldChar w:fldCharType="end"/>
            </w:r>
          </w:hyperlink>
        </w:p>
        <w:p w14:paraId="0BBA96C0" w14:textId="2F51EC17" w:rsidR="00CD0AF8" w:rsidRDefault="00000000">
          <w:pPr>
            <w:pStyle w:val="TOC2"/>
            <w:tabs>
              <w:tab w:val="right" w:leader="dot" w:pos="12950"/>
            </w:tabs>
            <w:rPr>
              <w:rFonts w:eastAsiaTheme="minorEastAsia" w:cstheme="minorBidi"/>
              <w:b w:val="0"/>
              <w:bCs w:val="0"/>
              <w:noProof/>
              <w:sz w:val="22"/>
              <w:szCs w:val="22"/>
            </w:rPr>
          </w:pPr>
          <w:hyperlink w:anchor="_Toc124255027" w:history="1">
            <w:r w:rsidR="00CD0AF8" w:rsidRPr="009C0A3A">
              <w:rPr>
                <w:rStyle w:val="Hyperlink"/>
                <w:noProof/>
                <w:highlight w:val="yellow"/>
              </w:rPr>
              <w:t>Referral and Placement</w:t>
            </w:r>
            <w:r w:rsidR="00CD0AF8">
              <w:rPr>
                <w:noProof/>
                <w:webHidden/>
              </w:rPr>
              <w:tab/>
            </w:r>
            <w:r w:rsidR="00CD0AF8">
              <w:rPr>
                <w:noProof/>
                <w:webHidden/>
              </w:rPr>
              <w:fldChar w:fldCharType="begin"/>
            </w:r>
            <w:r w:rsidR="00CD0AF8">
              <w:rPr>
                <w:noProof/>
                <w:webHidden/>
              </w:rPr>
              <w:instrText xml:space="preserve"> PAGEREF _Toc124255027 \h </w:instrText>
            </w:r>
            <w:r w:rsidR="00CD0AF8">
              <w:rPr>
                <w:noProof/>
                <w:webHidden/>
              </w:rPr>
            </w:r>
            <w:r w:rsidR="00CD0AF8">
              <w:rPr>
                <w:noProof/>
                <w:webHidden/>
              </w:rPr>
              <w:fldChar w:fldCharType="separate"/>
            </w:r>
            <w:r w:rsidR="00CD0AF8">
              <w:rPr>
                <w:noProof/>
                <w:webHidden/>
              </w:rPr>
              <w:t>56</w:t>
            </w:r>
            <w:r w:rsidR="00CD0AF8">
              <w:rPr>
                <w:noProof/>
                <w:webHidden/>
              </w:rPr>
              <w:fldChar w:fldCharType="end"/>
            </w:r>
          </w:hyperlink>
        </w:p>
        <w:p w14:paraId="1036076A" w14:textId="13A6FD97" w:rsidR="00CD0AF8" w:rsidRDefault="00000000">
          <w:pPr>
            <w:pStyle w:val="TOC2"/>
            <w:tabs>
              <w:tab w:val="right" w:leader="dot" w:pos="12950"/>
            </w:tabs>
            <w:rPr>
              <w:rFonts w:eastAsiaTheme="minorEastAsia" w:cstheme="minorBidi"/>
              <w:b w:val="0"/>
              <w:bCs w:val="0"/>
              <w:noProof/>
              <w:sz w:val="22"/>
              <w:szCs w:val="22"/>
            </w:rPr>
          </w:pPr>
          <w:hyperlink w:anchor="_Toc124255028" w:history="1">
            <w:r w:rsidR="00CD0AF8" w:rsidRPr="009C0A3A">
              <w:rPr>
                <w:rStyle w:val="Hyperlink"/>
                <w:noProof/>
                <w:highlight w:val="yellow"/>
              </w:rPr>
              <w:t>Training</w:t>
            </w:r>
            <w:r w:rsidR="00CD0AF8">
              <w:rPr>
                <w:noProof/>
                <w:webHidden/>
              </w:rPr>
              <w:tab/>
            </w:r>
            <w:r w:rsidR="00CD0AF8">
              <w:rPr>
                <w:noProof/>
                <w:webHidden/>
              </w:rPr>
              <w:fldChar w:fldCharType="begin"/>
            </w:r>
            <w:r w:rsidR="00CD0AF8">
              <w:rPr>
                <w:noProof/>
                <w:webHidden/>
              </w:rPr>
              <w:instrText xml:space="preserve"> PAGEREF _Toc124255028 \h </w:instrText>
            </w:r>
            <w:r w:rsidR="00CD0AF8">
              <w:rPr>
                <w:noProof/>
                <w:webHidden/>
              </w:rPr>
            </w:r>
            <w:r w:rsidR="00CD0AF8">
              <w:rPr>
                <w:noProof/>
                <w:webHidden/>
              </w:rPr>
              <w:fldChar w:fldCharType="separate"/>
            </w:r>
            <w:r w:rsidR="00CD0AF8">
              <w:rPr>
                <w:noProof/>
                <w:webHidden/>
              </w:rPr>
              <w:t>57</w:t>
            </w:r>
            <w:r w:rsidR="00CD0AF8">
              <w:rPr>
                <w:noProof/>
                <w:webHidden/>
              </w:rPr>
              <w:fldChar w:fldCharType="end"/>
            </w:r>
          </w:hyperlink>
        </w:p>
        <w:p w14:paraId="03C721D0" w14:textId="18CF4CCD" w:rsidR="00CD0AF8" w:rsidRDefault="00000000">
          <w:pPr>
            <w:pStyle w:val="TOC1"/>
            <w:tabs>
              <w:tab w:val="right" w:leader="dot" w:pos="12950"/>
            </w:tabs>
            <w:rPr>
              <w:rFonts w:eastAsiaTheme="minorEastAsia" w:cstheme="minorBidi"/>
              <w:b w:val="0"/>
              <w:bCs w:val="0"/>
              <w:i w:val="0"/>
              <w:iCs w:val="0"/>
              <w:noProof/>
              <w:sz w:val="22"/>
              <w:szCs w:val="22"/>
            </w:rPr>
          </w:pPr>
          <w:hyperlink w:anchor="_Toc124255029" w:history="1">
            <w:r w:rsidR="00CD0AF8" w:rsidRPr="009C0A3A">
              <w:rPr>
                <w:rStyle w:val="Hyperlink"/>
                <w:noProof/>
              </w:rPr>
              <w:t>General Policies</w:t>
            </w:r>
            <w:r w:rsidR="00CD0AF8">
              <w:rPr>
                <w:noProof/>
                <w:webHidden/>
              </w:rPr>
              <w:tab/>
            </w:r>
            <w:r w:rsidR="00CD0AF8">
              <w:rPr>
                <w:noProof/>
                <w:webHidden/>
              </w:rPr>
              <w:fldChar w:fldCharType="begin"/>
            </w:r>
            <w:r w:rsidR="00CD0AF8">
              <w:rPr>
                <w:noProof/>
                <w:webHidden/>
              </w:rPr>
              <w:instrText xml:space="preserve"> PAGEREF _Toc124255029 \h </w:instrText>
            </w:r>
            <w:r w:rsidR="00CD0AF8">
              <w:rPr>
                <w:noProof/>
                <w:webHidden/>
              </w:rPr>
            </w:r>
            <w:r w:rsidR="00CD0AF8">
              <w:rPr>
                <w:noProof/>
                <w:webHidden/>
              </w:rPr>
              <w:fldChar w:fldCharType="separate"/>
            </w:r>
            <w:r w:rsidR="00CD0AF8">
              <w:rPr>
                <w:noProof/>
                <w:webHidden/>
              </w:rPr>
              <w:t>58</w:t>
            </w:r>
            <w:r w:rsidR="00CD0AF8">
              <w:rPr>
                <w:noProof/>
                <w:webHidden/>
              </w:rPr>
              <w:fldChar w:fldCharType="end"/>
            </w:r>
          </w:hyperlink>
        </w:p>
        <w:p w14:paraId="0968D3CD" w14:textId="4572F07C"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30" w:history="1">
            <w:r w:rsidR="00CD0AF8" w:rsidRPr="009C0A3A">
              <w:rPr>
                <w:rStyle w:val="Hyperlink"/>
                <w:noProof/>
              </w:rPr>
              <w:t>1.</w:t>
            </w:r>
            <w:r w:rsidR="00CD0AF8">
              <w:rPr>
                <w:rFonts w:eastAsiaTheme="minorEastAsia" w:cstheme="minorBidi"/>
                <w:b w:val="0"/>
                <w:bCs w:val="0"/>
                <w:noProof/>
                <w:sz w:val="22"/>
                <w:szCs w:val="22"/>
              </w:rPr>
              <w:tab/>
            </w:r>
            <w:r w:rsidR="00CD0AF8" w:rsidRPr="009C0A3A">
              <w:rPr>
                <w:rStyle w:val="Hyperlink"/>
                <w:noProof/>
              </w:rPr>
              <w:t>Coordinated Entry</w:t>
            </w:r>
            <w:r w:rsidR="00CD0AF8">
              <w:rPr>
                <w:noProof/>
                <w:webHidden/>
              </w:rPr>
              <w:tab/>
            </w:r>
            <w:r w:rsidR="00CD0AF8">
              <w:rPr>
                <w:noProof/>
                <w:webHidden/>
              </w:rPr>
              <w:fldChar w:fldCharType="begin"/>
            </w:r>
            <w:r w:rsidR="00CD0AF8">
              <w:rPr>
                <w:noProof/>
                <w:webHidden/>
              </w:rPr>
              <w:instrText xml:space="preserve"> PAGEREF _Toc124255030 \h </w:instrText>
            </w:r>
            <w:r w:rsidR="00CD0AF8">
              <w:rPr>
                <w:noProof/>
                <w:webHidden/>
              </w:rPr>
            </w:r>
            <w:r w:rsidR="00CD0AF8">
              <w:rPr>
                <w:noProof/>
                <w:webHidden/>
              </w:rPr>
              <w:fldChar w:fldCharType="separate"/>
            </w:r>
            <w:r w:rsidR="00CD0AF8">
              <w:rPr>
                <w:noProof/>
                <w:webHidden/>
              </w:rPr>
              <w:t>58</w:t>
            </w:r>
            <w:r w:rsidR="00CD0AF8">
              <w:rPr>
                <w:noProof/>
                <w:webHidden/>
              </w:rPr>
              <w:fldChar w:fldCharType="end"/>
            </w:r>
          </w:hyperlink>
        </w:p>
        <w:p w14:paraId="15920B89" w14:textId="118BB91D"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31" w:history="1">
            <w:r w:rsidR="00CD0AF8" w:rsidRPr="009C0A3A">
              <w:rPr>
                <w:rStyle w:val="Hyperlink"/>
                <w:noProof/>
              </w:rPr>
              <w:t>2.</w:t>
            </w:r>
            <w:r w:rsidR="00CD0AF8">
              <w:rPr>
                <w:rFonts w:eastAsiaTheme="minorEastAsia" w:cstheme="minorBidi"/>
                <w:b w:val="0"/>
                <w:bCs w:val="0"/>
                <w:noProof/>
                <w:sz w:val="22"/>
                <w:szCs w:val="22"/>
              </w:rPr>
              <w:tab/>
            </w:r>
            <w:r w:rsidR="00CD0AF8" w:rsidRPr="009C0A3A">
              <w:rPr>
                <w:rStyle w:val="Hyperlink"/>
                <w:noProof/>
              </w:rPr>
              <w:t>HMIS</w:t>
            </w:r>
            <w:r w:rsidR="00CD0AF8">
              <w:rPr>
                <w:noProof/>
                <w:webHidden/>
              </w:rPr>
              <w:tab/>
            </w:r>
            <w:r w:rsidR="00CD0AF8">
              <w:rPr>
                <w:noProof/>
                <w:webHidden/>
              </w:rPr>
              <w:fldChar w:fldCharType="begin"/>
            </w:r>
            <w:r w:rsidR="00CD0AF8">
              <w:rPr>
                <w:noProof/>
                <w:webHidden/>
              </w:rPr>
              <w:instrText xml:space="preserve"> PAGEREF _Toc124255031 \h </w:instrText>
            </w:r>
            <w:r w:rsidR="00CD0AF8">
              <w:rPr>
                <w:noProof/>
                <w:webHidden/>
              </w:rPr>
            </w:r>
            <w:r w:rsidR="00CD0AF8">
              <w:rPr>
                <w:noProof/>
                <w:webHidden/>
              </w:rPr>
              <w:fldChar w:fldCharType="separate"/>
            </w:r>
            <w:r w:rsidR="00CD0AF8">
              <w:rPr>
                <w:noProof/>
                <w:webHidden/>
              </w:rPr>
              <w:t>58</w:t>
            </w:r>
            <w:r w:rsidR="00CD0AF8">
              <w:rPr>
                <w:noProof/>
                <w:webHidden/>
              </w:rPr>
              <w:fldChar w:fldCharType="end"/>
            </w:r>
          </w:hyperlink>
        </w:p>
        <w:p w14:paraId="1ED132C1" w14:textId="10BD3345"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32" w:history="1">
            <w:r w:rsidR="00CD0AF8" w:rsidRPr="009C0A3A">
              <w:rPr>
                <w:rStyle w:val="Hyperlink"/>
                <w:noProof/>
                <w:highlight w:val="yellow"/>
              </w:rPr>
              <w:t>3.</w:t>
            </w:r>
            <w:r w:rsidR="00CD0AF8">
              <w:rPr>
                <w:rFonts w:eastAsiaTheme="minorEastAsia" w:cstheme="minorBidi"/>
                <w:b w:val="0"/>
                <w:bCs w:val="0"/>
                <w:noProof/>
                <w:sz w:val="22"/>
                <w:szCs w:val="22"/>
              </w:rPr>
              <w:tab/>
            </w:r>
            <w:r w:rsidR="00CD0AF8" w:rsidRPr="009C0A3A">
              <w:rPr>
                <w:rStyle w:val="Hyperlink"/>
                <w:noProof/>
                <w:highlight w:val="yellow"/>
              </w:rPr>
              <w:t>Eligibility</w:t>
            </w:r>
            <w:r w:rsidR="00CD0AF8">
              <w:rPr>
                <w:noProof/>
                <w:webHidden/>
              </w:rPr>
              <w:tab/>
            </w:r>
            <w:r w:rsidR="00CD0AF8">
              <w:rPr>
                <w:noProof/>
                <w:webHidden/>
              </w:rPr>
              <w:fldChar w:fldCharType="begin"/>
            </w:r>
            <w:r w:rsidR="00CD0AF8">
              <w:rPr>
                <w:noProof/>
                <w:webHidden/>
              </w:rPr>
              <w:instrText xml:space="preserve"> PAGEREF _Toc124255032 \h </w:instrText>
            </w:r>
            <w:r w:rsidR="00CD0AF8">
              <w:rPr>
                <w:noProof/>
                <w:webHidden/>
              </w:rPr>
            </w:r>
            <w:r w:rsidR="00CD0AF8">
              <w:rPr>
                <w:noProof/>
                <w:webHidden/>
              </w:rPr>
              <w:fldChar w:fldCharType="separate"/>
            </w:r>
            <w:r w:rsidR="00CD0AF8">
              <w:rPr>
                <w:noProof/>
                <w:webHidden/>
              </w:rPr>
              <w:t>58</w:t>
            </w:r>
            <w:r w:rsidR="00CD0AF8">
              <w:rPr>
                <w:noProof/>
                <w:webHidden/>
              </w:rPr>
              <w:fldChar w:fldCharType="end"/>
            </w:r>
          </w:hyperlink>
        </w:p>
        <w:p w14:paraId="5A94E17D" w14:textId="708DEB03"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33" w:history="1">
            <w:r w:rsidR="00CD0AF8" w:rsidRPr="009C0A3A">
              <w:rPr>
                <w:rStyle w:val="Hyperlink"/>
                <w:noProof/>
                <w:highlight w:val="yellow"/>
              </w:rPr>
              <w:t>4.</w:t>
            </w:r>
            <w:r w:rsidR="00CD0AF8">
              <w:rPr>
                <w:rFonts w:eastAsiaTheme="minorEastAsia" w:cstheme="minorBidi"/>
                <w:b w:val="0"/>
                <w:bCs w:val="0"/>
                <w:noProof/>
                <w:sz w:val="22"/>
                <w:szCs w:val="22"/>
              </w:rPr>
              <w:tab/>
            </w:r>
            <w:r w:rsidR="00CD0AF8" w:rsidRPr="009C0A3A">
              <w:rPr>
                <w:rStyle w:val="Hyperlink"/>
                <w:noProof/>
                <w:highlight w:val="yellow"/>
              </w:rPr>
              <w:t>Emergency Transfer Plan</w:t>
            </w:r>
            <w:r w:rsidR="00CD0AF8">
              <w:rPr>
                <w:noProof/>
                <w:webHidden/>
              </w:rPr>
              <w:tab/>
            </w:r>
            <w:r w:rsidR="00CD0AF8">
              <w:rPr>
                <w:noProof/>
                <w:webHidden/>
              </w:rPr>
              <w:fldChar w:fldCharType="begin"/>
            </w:r>
            <w:r w:rsidR="00CD0AF8">
              <w:rPr>
                <w:noProof/>
                <w:webHidden/>
              </w:rPr>
              <w:instrText xml:space="preserve"> PAGEREF _Toc124255033 \h </w:instrText>
            </w:r>
            <w:r w:rsidR="00CD0AF8">
              <w:rPr>
                <w:noProof/>
                <w:webHidden/>
              </w:rPr>
            </w:r>
            <w:r w:rsidR="00CD0AF8">
              <w:rPr>
                <w:noProof/>
                <w:webHidden/>
              </w:rPr>
              <w:fldChar w:fldCharType="separate"/>
            </w:r>
            <w:r w:rsidR="00CD0AF8">
              <w:rPr>
                <w:noProof/>
                <w:webHidden/>
              </w:rPr>
              <w:t>58</w:t>
            </w:r>
            <w:r w:rsidR="00CD0AF8">
              <w:rPr>
                <w:noProof/>
                <w:webHidden/>
              </w:rPr>
              <w:fldChar w:fldCharType="end"/>
            </w:r>
          </w:hyperlink>
        </w:p>
        <w:p w14:paraId="1C9B6E46" w14:textId="476380B3"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34" w:history="1">
            <w:r w:rsidR="00CD0AF8" w:rsidRPr="009C0A3A">
              <w:rPr>
                <w:rStyle w:val="Hyperlink"/>
                <w:noProof/>
              </w:rPr>
              <w:t>5.</w:t>
            </w:r>
            <w:r w:rsidR="00CD0AF8">
              <w:rPr>
                <w:rFonts w:eastAsiaTheme="minorEastAsia" w:cstheme="minorBidi"/>
                <w:b w:val="0"/>
                <w:bCs w:val="0"/>
                <w:noProof/>
                <w:sz w:val="22"/>
                <w:szCs w:val="22"/>
              </w:rPr>
              <w:tab/>
            </w:r>
            <w:r w:rsidR="00CD0AF8" w:rsidRPr="009C0A3A">
              <w:rPr>
                <w:rStyle w:val="Hyperlink"/>
                <w:noProof/>
              </w:rPr>
              <w:t>Fair Housing, Antidiscrimination, Equal Access</w:t>
            </w:r>
            <w:r w:rsidR="00CD0AF8">
              <w:rPr>
                <w:noProof/>
                <w:webHidden/>
              </w:rPr>
              <w:tab/>
            </w:r>
            <w:r w:rsidR="00CD0AF8">
              <w:rPr>
                <w:noProof/>
                <w:webHidden/>
              </w:rPr>
              <w:fldChar w:fldCharType="begin"/>
            </w:r>
            <w:r w:rsidR="00CD0AF8">
              <w:rPr>
                <w:noProof/>
                <w:webHidden/>
              </w:rPr>
              <w:instrText xml:space="preserve"> PAGEREF _Toc124255034 \h </w:instrText>
            </w:r>
            <w:r w:rsidR="00CD0AF8">
              <w:rPr>
                <w:noProof/>
                <w:webHidden/>
              </w:rPr>
            </w:r>
            <w:r w:rsidR="00CD0AF8">
              <w:rPr>
                <w:noProof/>
                <w:webHidden/>
              </w:rPr>
              <w:fldChar w:fldCharType="separate"/>
            </w:r>
            <w:r w:rsidR="00CD0AF8">
              <w:rPr>
                <w:noProof/>
                <w:webHidden/>
              </w:rPr>
              <w:t>65</w:t>
            </w:r>
            <w:r w:rsidR="00CD0AF8">
              <w:rPr>
                <w:noProof/>
                <w:webHidden/>
              </w:rPr>
              <w:fldChar w:fldCharType="end"/>
            </w:r>
          </w:hyperlink>
        </w:p>
        <w:p w14:paraId="11E2428F" w14:textId="72A407E7"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35" w:history="1">
            <w:r w:rsidR="00CD0AF8" w:rsidRPr="009C0A3A">
              <w:rPr>
                <w:rStyle w:val="Hyperlink"/>
                <w:noProof/>
              </w:rPr>
              <w:t>6.</w:t>
            </w:r>
            <w:r w:rsidR="00CD0AF8">
              <w:rPr>
                <w:rFonts w:eastAsiaTheme="minorEastAsia" w:cstheme="minorBidi"/>
                <w:b w:val="0"/>
                <w:bCs w:val="0"/>
                <w:noProof/>
                <w:sz w:val="22"/>
                <w:szCs w:val="22"/>
              </w:rPr>
              <w:tab/>
            </w:r>
            <w:r w:rsidR="00CD0AF8" w:rsidRPr="009C0A3A">
              <w:rPr>
                <w:rStyle w:val="Hyperlink"/>
                <w:noProof/>
              </w:rPr>
              <w:t>Housing Requirements</w:t>
            </w:r>
            <w:r w:rsidR="00CD0AF8">
              <w:rPr>
                <w:noProof/>
                <w:webHidden/>
              </w:rPr>
              <w:tab/>
            </w:r>
            <w:r w:rsidR="00CD0AF8">
              <w:rPr>
                <w:noProof/>
                <w:webHidden/>
              </w:rPr>
              <w:fldChar w:fldCharType="begin"/>
            </w:r>
            <w:r w:rsidR="00CD0AF8">
              <w:rPr>
                <w:noProof/>
                <w:webHidden/>
              </w:rPr>
              <w:instrText xml:space="preserve"> PAGEREF _Toc124255035 \h </w:instrText>
            </w:r>
            <w:r w:rsidR="00CD0AF8">
              <w:rPr>
                <w:noProof/>
                <w:webHidden/>
              </w:rPr>
            </w:r>
            <w:r w:rsidR="00CD0AF8">
              <w:rPr>
                <w:noProof/>
                <w:webHidden/>
              </w:rPr>
              <w:fldChar w:fldCharType="separate"/>
            </w:r>
            <w:r w:rsidR="00CD0AF8">
              <w:rPr>
                <w:noProof/>
                <w:webHidden/>
              </w:rPr>
              <w:t>67</w:t>
            </w:r>
            <w:r w:rsidR="00CD0AF8">
              <w:rPr>
                <w:noProof/>
                <w:webHidden/>
              </w:rPr>
              <w:fldChar w:fldCharType="end"/>
            </w:r>
          </w:hyperlink>
        </w:p>
        <w:p w14:paraId="3020143C" w14:textId="00C8917E"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36" w:history="1">
            <w:r w:rsidR="00CD0AF8" w:rsidRPr="009C0A3A">
              <w:rPr>
                <w:rStyle w:val="Hyperlink"/>
                <w:noProof/>
              </w:rPr>
              <w:t>7.</w:t>
            </w:r>
            <w:r w:rsidR="00CD0AF8">
              <w:rPr>
                <w:rFonts w:eastAsiaTheme="minorEastAsia" w:cstheme="minorBidi"/>
                <w:b w:val="0"/>
                <w:bCs w:val="0"/>
                <w:noProof/>
                <w:sz w:val="22"/>
                <w:szCs w:val="22"/>
              </w:rPr>
              <w:tab/>
            </w:r>
            <w:r w:rsidR="00CD0AF8" w:rsidRPr="009C0A3A">
              <w:rPr>
                <w:rStyle w:val="Hyperlink"/>
                <w:noProof/>
              </w:rPr>
              <w:t>Standards for Termination of Assistance and Grievance Procedure</w:t>
            </w:r>
            <w:r w:rsidR="00CD0AF8">
              <w:rPr>
                <w:noProof/>
                <w:webHidden/>
              </w:rPr>
              <w:tab/>
            </w:r>
            <w:r w:rsidR="00CD0AF8">
              <w:rPr>
                <w:noProof/>
                <w:webHidden/>
              </w:rPr>
              <w:fldChar w:fldCharType="begin"/>
            </w:r>
            <w:r w:rsidR="00CD0AF8">
              <w:rPr>
                <w:noProof/>
                <w:webHidden/>
              </w:rPr>
              <w:instrText xml:space="preserve"> PAGEREF _Toc124255036 \h </w:instrText>
            </w:r>
            <w:r w:rsidR="00CD0AF8">
              <w:rPr>
                <w:noProof/>
                <w:webHidden/>
              </w:rPr>
            </w:r>
            <w:r w:rsidR="00CD0AF8">
              <w:rPr>
                <w:noProof/>
                <w:webHidden/>
              </w:rPr>
              <w:fldChar w:fldCharType="separate"/>
            </w:r>
            <w:r w:rsidR="00CD0AF8">
              <w:rPr>
                <w:noProof/>
                <w:webHidden/>
              </w:rPr>
              <w:t>71</w:t>
            </w:r>
            <w:r w:rsidR="00CD0AF8">
              <w:rPr>
                <w:noProof/>
                <w:webHidden/>
              </w:rPr>
              <w:fldChar w:fldCharType="end"/>
            </w:r>
          </w:hyperlink>
        </w:p>
        <w:p w14:paraId="59B502AF" w14:textId="7D34DA56"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37" w:history="1">
            <w:r w:rsidR="00CD0AF8" w:rsidRPr="009C0A3A">
              <w:rPr>
                <w:rStyle w:val="Hyperlink"/>
                <w:noProof/>
              </w:rPr>
              <w:t>8.</w:t>
            </w:r>
            <w:r w:rsidR="00CD0AF8">
              <w:rPr>
                <w:rFonts w:eastAsiaTheme="minorEastAsia" w:cstheme="minorBidi"/>
                <w:b w:val="0"/>
                <w:bCs w:val="0"/>
                <w:noProof/>
                <w:sz w:val="22"/>
                <w:szCs w:val="22"/>
              </w:rPr>
              <w:tab/>
            </w:r>
            <w:r w:rsidR="00CD0AF8" w:rsidRPr="009C0A3A">
              <w:rPr>
                <w:rStyle w:val="Hyperlink"/>
                <w:noProof/>
              </w:rPr>
              <w:t>Privacy and Safety for Survivors of Domestic Violence</w:t>
            </w:r>
            <w:r w:rsidR="00CD0AF8">
              <w:rPr>
                <w:noProof/>
                <w:webHidden/>
              </w:rPr>
              <w:tab/>
            </w:r>
            <w:r w:rsidR="00CD0AF8">
              <w:rPr>
                <w:noProof/>
                <w:webHidden/>
              </w:rPr>
              <w:fldChar w:fldCharType="begin"/>
            </w:r>
            <w:r w:rsidR="00CD0AF8">
              <w:rPr>
                <w:noProof/>
                <w:webHidden/>
              </w:rPr>
              <w:instrText xml:space="preserve"> PAGEREF _Toc124255037 \h </w:instrText>
            </w:r>
            <w:r w:rsidR="00CD0AF8">
              <w:rPr>
                <w:noProof/>
                <w:webHidden/>
              </w:rPr>
            </w:r>
            <w:r w:rsidR="00CD0AF8">
              <w:rPr>
                <w:noProof/>
                <w:webHidden/>
              </w:rPr>
              <w:fldChar w:fldCharType="separate"/>
            </w:r>
            <w:r w:rsidR="00CD0AF8">
              <w:rPr>
                <w:noProof/>
                <w:webHidden/>
              </w:rPr>
              <w:t>72</w:t>
            </w:r>
            <w:r w:rsidR="00CD0AF8">
              <w:rPr>
                <w:noProof/>
                <w:webHidden/>
              </w:rPr>
              <w:fldChar w:fldCharType="end"/>
            </w:r>
          </w:hyperlink>
        </w:p>
        <w:p w14:paraId="1034D8F5" w14:textId="24A77A8C"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38" w:history="1">
            <w:r w:rsidR="00CD0AF8" w:rsidRPr="009C0A3A">
              <w:rPr>
                <w:rStyle w:val="Hyperlink"/>
                <w:noProof/>
              </w:rPr>
              <w:t>9.</w:t>
            </w:r>
            <w:r w:rsidR="00CD0AF8">
              <w:rPr>
                <w:rFonts w:eastAsiaTheme="minorEastAsia" w:cstheme="minorBidi"/>
                <w:b w:val="0"/>
                <w:bCs w:val="0"/>
                <w:noProof/>
                <w:sz w:val="22"/>
                <w:szCs w:val="22"/>
              </w:rPr>
              <w:tab/>
            </w:r>
            <w:r w:rsidR="00CD0AF8" w:rsidRPr="009C0A3A">
              <w:rPr>
                <w:rStyle w:val="Hyperlink"/>
                <w:noProof/>
              </w:rPr>
              <w:t>Housing First Commitment</w:t>
            </w:r>
            <w:r w:rsidR="00CD0AF8">
              <w:rPr>
                <w:noProof/>
                <w:webHidden/>
              </w:rPr>
              <w:tab/>
            </w:r>
            <w:r w:rsidR="00CD0AF8">
              <w:rPr>
                <w:noProof/>
                <w:webHidden/>
              </w:rPr>
              <w:fldChar w:fldCharType="begin"/>
            </w:r>
            <w:r w:rsidR="00CD0AF8">
              <w:rPr>
                <w:noProof/>
                <w:webHidden/>
              </w:rPr>
              <w:instrText xml:space="preserve"> PAGEREF _Toc124255038 \h </w:instrText>
            </w:r>
            <w:r w:rsidR="00CD0AF8">
              <w:rPr>
                <w:noProof/>
                <w:webHidden/>
              </w:rPr>
            </w:r>
            <w:r w:rsidR="00CD0AF8">
              <w:rPr>
                <w:noProof/>
                <w:webHidden/>
              </w:rPr>
              <w:fldChar w:fldCharType="separate"/>
            </w:r>
            <w:r w:rsidR="00CD0AF8">
              <w:rPr>
                <w:noProof/>
                <w:webHidden/>
              </w:rPr>
              <w:t>72</w:t>
            </w:r>
            <w:r w:rsidR="00CD0AF8">
              <w:rPr>
                <w:noProof/>
                <w:webHidden/>
              </w:rPr>
              <w:fldChar w:fldCharType="end"/>
            </w:r>
          </w:hyperlink>
        </w:p>
        <w:p w14:paraId="5673D943" w14:textId="21E0F706" w:rsidR="00CD0AF8" w:rsidRDefault="00000000">
          <w:pPr>
            <w:pStyle w:val="TOC2"/>
            <w:tabs>
              <w:tab w:val="left" w:pos="880"/>
              <w:tab w:val="right" w:leader="dot" w:pos="12950"/>
            </w:tabs>
            <w:rPr>
              <w:rFonts w:eastAsiaTheme="minorEastAsia" w:cstheme="minorBidi"/>
              <w:b w:val="0"/>
              <w:bCs w:val="0"/>
              <w:noProof/>
              <w:sz w:val="22"/>
              <w:szCs w:val="22"/>
            </w:rPr>
          </w:pPr>
          <w:hyperlink w:anchor="_Toc124255039" w:history="1">
            <w:r w:rsidR="00CD0AF8" w:rsidRPr="009C0A3A">
              <w:rPr>
                <w:rStyle w:val="Hyperlink"/>
                <w:noProof/>
              </w:rPr>
              <w:t>10.</w:t>
            </w:r>
            <w:r w:rsidR="00CD0AF8">
              <w:rPr>
                <w:rFonts w:eastAsiaTheme="minorEastAsia" w:cstheme="minorBidi"/>
                <w:b w:val="0"/>
                <w:bCs w:val="0"/>
                <w:noProof/>
                <w:sz w:val="22"/>
                <w:szCs w:val="22"/>
              </w:rPr>
              <w:tab/>
            </w:r>
            <w:r w:rsidR="00CD0AF8" w:rsidRPr="009C0A3A">
              <w:rPr>
                <w:rStyle w:val="Hyperlink"/>
                <w:noProof/>
              </w:rPr>
              <w:t>Progressive Engagement</w:t>
            </w:r>
            <w:r w:rsidR="00CD0AF8">
              <w:rPr>
                <w:noProof/>
                <w:webHidden/>
              </w:rPr>
              <w:tab/>
            </w:r>
            <w:r w:rsidR="00CD0AF8">
              <w:rPr>
                <w:noProof/>
                <w:webHidden/>
              </w:rPr>
              <w:fldChar w:fldCharType="begin"/>
            </w:r>
            <w:r w:rsidR="00CD0AF8">
              <w:rPr>
                <w:noProof/>
                <w:webHidden/>
              </w:rPr>
              <w:instrText xml:space="preserve"> PAGEREF _Toc124255039 \h </w:instrText>
            </w:r>
            <w:r w:rsidR="00CD0AF8">
              <w:rPr>
                <w:noProof/>
                <w:webHidden/>
              </w:rPr>
            </w:r>
            <w:r w:rsidR="00CD0AF8">
              <w:rPr>
                <w:noProof/>
                <w:webHidden/>
              </w:rPr>
              <w:fldChar w:fldCharType="separate"/>
            </w:r>
            <w:r w:rsidR="00CD0AF8">
              <w:rPr>
                <w:noProof/>
                <w:webHidden/>
              </w:rPr>
              <w:t>74</w:t>
            </w:r>
            <w:r w:rsidR="00CD0AF8">
              <w:rPr>
                <w:noProof/>
                <w:webHidden/>
              </w:rPr>
              <w:fldChar w:fldCharType="end"/>
            </w:r>
          </w:hyperlink>
        </w:p>
        <w:p w14:paraId="3562CA43" w14:textId="7346E2CB" w:rsidR="00CD0AF8" w:rsidRDefault="00000000">
          <w:pPr>
            <w:pStyle w:val="TOC1"/>
            <w:tabs>
              <w:tab w:val="right" w:leader="dot" w:pos="12950"/>
            </w:tabs>
            <w:rPr>
              <w:rFonts w:eastAsiaTheme="minorEastAsia" w:cstheme="minorBidi"/>
              <w:b w:val="0"/>
              <w:bCs w:val="0"/>
              <w:i w:val="0"/>
              <w:iCs w:val="0"/>
              <w:noProof/>
              <w:sz w:val="22"/>
              <w:szCs w:val="22"/>
            </w:rPr>
          </w:pPr>
          <w:hyperlink w:anchor="_Toc124255040" w:history="1">
            <w:r w:rsidR="00CD0AF8" w:rsidRPr="009C0A3A">
              <w:rPr>
                <w:rStyle w:val="Hyperlink"/>
                <w:noProof/>
              </w:rPr>
              <w:t>Standards for Emergency Shelter</w:t>
            </w:r>
            <w:r w:rsidR="00CD0AF8">
              <w:rPr>
                <w:noProof/>
                <w:webHidden/>
              </w:rPr>
              <w:tab/>
            </w:r>
            <w:r w:rsidR="00CD0AF8">
              <w:rPr>
                <w:noProof/>
                <w:webHidden/>
              </w:rPr>
              <w:fldChar w:fldCharType="begin"/>
            </w:r>
            <w:r w:rsidR="00CD0AF8">
              <w:rPr>
                <w:noProof/>
                <w:webHidden/>
              </w:rPr>
              <w:instrText xml:space="preserve"> PAGEREF _Toc124255040 \h </w:instrText>
            </w:r>
            <w:r w:rsidR="00CD0AF8">
              <w:rPr>
                <w:noProof/>
                <w:webHidden/>
              </w:rPr>
            </w:r>
            <w:r w:rsidR="00CD0AF8">
              <w:rPr>
                <w:noProof/>
                <w:webHidden/>
              </w:rPr>
              <w:fldChar w:fldCharType="separate"/>
            </w:r>
            <w:r w:rsidR="00CD0AF8">
              <w:rPr>
                <w:noProof/>
                <w:webHidden/>
              </w:rPr>
              <w:t>77</w:t>
            </w:r>
            <w:r w:rsidR="00CD0AF8">
              <w:rPr>
                <w:noProof/>
                <w:webHidden/>
              </w:rPr>
              <w:fldChar w:fldCharType="end"/>
            </w:r>
          </w:hyperlink>
        </w:p>
        <w:p w14:paraId="29F64DE6" w14:textId="70505A5E"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41" w:history="1">
            <w:r w:rsidR="00CD0AF8" w:rsidRPr="009C0A3A">
              <w:rPr>
                <w:rStyle w:val="Hyperlink"/>
                <w:noProof/>
              </w:rPr>
              <w:t>1.</w:t>
            </w:r>
            <w:r w:rsidR="00CD0AF8">
              <w:rPr>
                <w:rFonts w:eastAsiaTheme="minorEastAsia" w:cstheme="minorBidi"/>
                <w:b w:val="0"/>
                <w:bCs w:val="0"/>
                <w:noProof/>
                <w:sz w:val="22"/>
                <w:szCs w:val="22"/>
              </w:rPr>
              <w:tab/>
            </w:r>
            <w:r w:rsidR="00CD0AF8" w:rsidRPr="009C0A3A">
              <w:rPr>
                <w:rStyle w:val="Hyperlink"/>
                <w:noProof/>
              </w:rPr>
              <w:t>Introduction</w:t>
            </w:r>
            <w:r w:rsidR="00CD0AF8">
              <w:rPr>
                <w:noProof/>
                <w:webHidden/>
              </w:rPr>
              <w:tab/>
            </w:r>
            <w:r w:rsidR="00CD0AF8">
              <w:rPr>
                <w:noProof/>
                <w:webHidden/>
              </w:rPr>
              <w:fldChar w:fldCharType="begin"/>
            </w:r>
            <w:r w:rsidR="00CD0AF8">
              <w:rPr>
                <w:noProof/>
                <w:webHidden/>
              </w:rPr>
              <w:instrText xml:space="preserve"> PAGEREF _Toc124255041 \h </w:instrText>
            </w:r>
            <w:r w:rsidR="00CD0AF8">
              <w:rPr>
                <w:noProof/>
                <w:webHidden/>
              </w:rPr>
            </w:r>
            <w:r w:rsidR="00CD0AF8">
              <w:rPr>
                <w:noProof/>
                <w:webHidden/>
              </w:rPr>
              <w:fldChar w:fldCharType="separate"/>
            </w:r>
            <w:r w:rsidR="00CD0AF8">
              <w:rPr>
                <w:noProof/>
                <w:webHidden/>
              </w:rPr>
              <w:t>77</w:t>
            </w:r>
            <w:r w:rsidR="00CD0AF8">
              <w:rPr>
                <w:noProof/>
                <w:webHidden/>
              </w:rPr>
              <w:fldChar w:fldCharType="end"/>
            </w:r>
          </w:hyperlink>
        </w:p>
        <w:p w14:paraId="6917370F" w14:textId="6B9BD7FE"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42" w:history="1">
            <w:r w:rsidR="00CD0AF8" w:rsidRPr="009C0A3A">
              <w:rPr>
                <w:rStyle w:val="Hyperlink"/>
                <w:noProof/>
              </w:rPr>
              <w:t>2.</w:t>
            </w:r>
            <w:r w:rsidR="00CD0AF8">
              <w:rPr>
                <w:rFonts w:eastAsiaTheme="minorEastAsia" w:cstheme="minorBidi"/>
                <w:b w:val="0"/>
                <w:bCs w:val="0"/>
                <w:noProof/>
                <w:sz w:val="22"/>
                <w:szCs w:val="22"/>
              </w:rPr>
              <w:tab/>
            </w:r>
            <w:r w:rsidR="00CD0AF8" w:rsidRPr="009C0A3A">
              <w:rPr>
                <w:rStyle w:val="Hyperlink"/>
                <w:noProof/>
              </w:rPr>
              <w:t>Eligibility</w:t>
            </w:r>
            <w:r w:rsidR="00CD0AF8">
              <w:rPr>
                <w:noProof/>
                <w:webHidden/>
              </w:rPr>
              <w:tab/>
            </w:r>
            <w:r w:rsidR="00CD0AF8">
              <w:rPr>
                <w:noProof/>
                <w:webHidden/>
              </w:rPr>
              <w:fldChar w:fldCharType="begin"/>
            </w:r>
            <w:r w:rsidR="00CD0AF8">
              <w:rPr>
                <w:noProof/>
                <w:webHidden/>
              </w:rPr>
              <w:instrText xml:space="preserve"> PAGEREF _Toc124255042 \h </w:instrText>
            </w:r>
            <w:r w:rsidR="00CD0AF8">
              <w:rPr>
                <w:noProof/>
                <w:webHidden/>
              </w:rPr>
            </w:r>
            <w:r w:rsidR="00CD0AF8">
              <w:rPr>
                <w:noProof/>
                <w:webHidden/>
              </w:rPr>
              <w:fldChar w:fldCharType="separate"/>
            </w:r>
            <w:r w:rsidR="00CD0AF8">
              <w:rPr>
                <w:noProof/>
                <w:webHidden/>
              </w:rPr>
              <w:t>77</w:t>
            </w:r>
            <w:r w:rsidR="00CD0AF8">
              <w:rPr>
                <w:noProof/>
                <w:webHidden/>
              </w:rPr>
              <w:fldChar w:fldCharType="end"/>
            </w:r>
          </w:hyperlink>
        </w:p>
        <w:p w14:paraId="3AA837BB" w14:textId="6B9170BD"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43" w:history="1">
            <w:r w:rsidR="00CD0AF8" w:rsidRPr="009C0A3A">
              <w:rPr>
                <w:rStyle w:val="Hyperlink"/>
                <w:noProof/>
              </w:rPr>
              <w:t>3.</w:t>
            </w:r>
            <w:r w:rsidR="00CD0AF8">
              <w:rPr>
                <w:rFonts w:eastAsiaTheme="minorEastAsia" w:cstheme="minorBidi"/>
                <w:b w:val="0"/>
                <w:bCs w:val="0"/>
                <w:noProof/>
                <w:sz w:val="22"/>
                <w:szCs w:val="22"/>
              </w:rPr>
              <w:tab/>
            </w:r>
            <w:r w:rsidR="00CD0AF8" w:rsidRPr="009C0A3A">
              <w:rPr>
                <w:rStyle w:val="Hyperlink"/>
                <w:noProof/>
              </w:rPr>
              <w:t>Prioritization</w:t>
            </w:r>
            <w:r w:rsidR="00CD0AF8">
              <w:rPr>
                <w:noProof/>
                <w:webHidden/>
              </w:rPr>
              <w:tab/>
            </w:r>
            <w:r w:rsidR="00CD0AF8">
              <w:rPr>
                <w:noProof/>
                <w:webHidden/>
              </w:rPr>
              <w:fldChar w:fldCharType="begin"/>
            </w:r>
            <w:r w:rsidR="00CD0AF8">
              <w:rPr>
                <w:noProof/>
                <w:webHidden/>
              </w:rPr>
              <w:instrText xml:space="preserve"> PAGEREF _Toc124255043 \h </w:instrText>
            </w:r>
            <w:r w:rsidR="00CD0AF8">
              <w:rPr>
                <w:noProof/>
                <w:webHidden/>
              </w:rPr>
            </w:r>
            <w:r w:rsidR="00CD0AF8">
              <w:rPr>
                <w:noProof/>
                <w:webHidden/>
              </w:rPr>
              <w:fldChar w:fldCharType="separate"/>
            </w:r>
            <w:r w:rsidR="00CD0AF8">
              <w:rPr>
                <w:noProof/>
                <w:webHidden/>
              </w:rPr>
              <w:t>77</w:t>
            </w:r>
            <w:r w:rsidR="00CD0AF8">
              <w:rPr>
                <w:noProof/>
                <w:webHidden/>
              </w:rPr>
              <w:fldChar w:fldCharType="end"/>
            </w:r>
          </w:hyperlink>
        </w:p>
        <w:p w14:paraId="626ECF62" w14:textId="044E0867"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44" w:history="1">
            <w:r w:rsidR="00CD0AF8" w:rsidRPr="009C0A3A">
              <w:rPr>
                <w:rStyle w:val="Hyperlink"/>
                <w:noProof/>
              </w:rPr>
              <w:t>4.</w:t>
            </w:r>
            <w:r w:rsidR="00CD0AF8">
              <w:rPr>
                <w:rFonts w:eastAsiaTheme="minorEastAsia" w:cstheme="minorBidi"/>
                <w:b w:val="0"/>
                <w:bCs w:val="0"/>
                <w:noProof/>
                <w:sz w:val="22"/>
                <w:szCs w:val="22"/>
              </w:rPr>
              <w:tab/>
            </w:r>
            <w:r w:rsidR="00CD0AF8" w:rsidRPr="009C0A3A">
              <w:rPr>
                <w:rStyle w:val="Hyperlink"/>
                <w:noProof/>
              </w:rPr>
              <w:t>Intake</w:t>
            </w:r>
            <w:r w:rsidR="00CD0AF8">
              <w:rPr>
                <w:noProof/>
                <w:webHidden/>
              </w:rPr>
              <w:tab/>
            </w:r>
            <w:r w:rsidR="00CD0AF8">
              <w:rPr>
                <w:noProof/>
                <w:webHidden/>
              </w:rPr>
              <w:fldChar w:fldCharType="begin"/>
            </w:r>
            <w:r w:rsidR="00CD0AF8">
              <w:rPr>
                <w:noProof/>
                <w:webHidden/>
              </w:rPr>
              <w:instrText xml:space="preserve"> PAGEREF _Toc124255044 \h </w:instrText>
            </w:r>
            <w:r w:rsidR="00CD0AF8">
              <w:rPr>
                <w:noProof/>
                <w:webHidden/>
              </w:rPr>
            </w:r>
            <w:r w:rsidR="00CD0AF8">
              <w:rPr>
                <w:noProof/>
                <w:webHidden/>
              </w:rPr>
              <w:fldChar w:fldCharType="separate"/>
            </w:r>
            <w:r w:rsidR="00CD0AF8">
              <w:rPr>
                <w:noProof/>
                <w:webHidden/>
              </w:rPr>
              <w:t>77</w:t>
            </w:r>
            <w:r w:rsidR="00CD0AF8">
              <w:rPr>
                <w:noProof/>
                <w:webHidden/>
              </w:rPr>
              <w:fldChar w:fldCharType="end"/>
            </w:r>
          </w:hyperlink>
        </w:p>
        <w:p w14:paraId="5016C342" w14:textId="58D2145E"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45" w:history="1">
            <w:r w:rsidR="00CD0AF8" w:rsidRPr="009C0A3A">
              <w:rPr>
                <w:rStyle w:val="Hyperlink"/>
                <w:noProof/>
              </w:rPr>
              <w:t>5.</w:t>
            </w:r>
            <w:r w:rsidR="00CD0AF8">
              <w:rPr>
                <w:rFonts w:eastAsiaTheme="minorEastAsia" w:cstheme="minorBidi"/>
                <w:b w:val="0"/>
                <w:bCs w:val="0"/>
                <w:noProof/>
                <w:sz w:val="22"/>
                <w:szCs w:val="22"/>
              </w:rPr>
              <w:tab/>
            </w:r>
            <w:r w:rsidR="00CD0AF8" w:rsidRPr="009C0A3A">
              <w:rPr>
                <w:rStyle w:val="Hyperlink"/>
                <w:noProof/>
              </w:rPr>
              <w:t>Housing Requirements</w:t>
            </w:r>
            <w:r w:rsidR="00CD0AF8">
              <w:rPr>
                <w:noProof/>
                <w:webHidden/>
              </w:rPr>
              <w:tab/>
            </w:r>
            <w:r w:rsidR="00CD0AF8">
              <w:rPr>
                <w:noProof/>
                <w:webHidden/>
              </w:rPr>
              <w:fldChar w:fldCharType="begin"/>
            </w:r>
            <w:r w:rsidR="00CD0AF8">
              <w:rPr>
                <w:noProof/>
                <w:webHidden/>
              </w:rPr>
              <w:instrText xml:space="preserve"> PAGEREF _Toc124255045 \h </w:instrText>
            </w:r>
            <w:r w:rsidR="00CD0AF8">
              <w:rPr>
                <w:noProof/>
                <w:webHidden/>
              </w:rPr>
            </w:r>
            <w:r w:rsidR="00CD0AF8">
              <w:rPr>
                <w:noProof/>
                <w:webHidden/>
              </w:rPr>
              <w:fldChar w:fldCharType="separate"/>
            </w:r>
            <w:r w:rsidR="00CD0AF8">
              <w:rPr>
                <w:noProof/>
                <w:webHidden/>
              </w:rPr>
              <w:t>78</w:t>
            </w:r>
            <w:r w:rsidR="00CD0AF8">
              <w:rPr>
                <w:noProof/>
                <w:webHidden/>
              </w:rPr>
              <w:fldChar w:fldCharType="end"/>
            </w:r>
          </w:hyperlink>
        </w:p>
        <w:p w14:paraId="144DA0F5" w14:textId="0EB9CDEA"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46" w:history="1">
            <w:r w:rsidR="00CD0AF8" w:rsidRPr="009C0A3A">
              <w:rPr>
                <w:rStyle w:val="Hyperlink"/>
                <w:noProof/>
              </w:rPr>
              <w:t>6.</w:t>
            </w:r>
            <w:r w:rsidR="00CD0AF8">
              <w:rPr>
                <w:rFonts w:eastAsiaTheme="minorEastAsia" w:cstheme="minorBidi"/>
                <w:b w:val="0"/>
                <w:bCs w:val="0"/>
                <w:noProof/>
                <w:sz w:val="22"/>
                <w:szCs w:val="22"/>
              </w:rPr>
              <w:tab/>
            </w:r>
            <w:r w:rsidR="00CD0AF8" w:rsidRPr="009C0A3A">
              <w:rPr>
                <w:rStyle w:val="Hyperlink"/>
                <w:noProof/>
              </w:rPr>
              <w:t>Services Requirements</w:t>
            </w:r>
            <w:r w:rsidR="00CD0AF8">
              <w:rPr>
                <w:noProof/>
                <w:webHidden/>
              </w:rPr>
              <w:tab/>
            </w:r>
            <w:r w:rsidR="00CD0AF8">
              <w:rPr>
                <w:noProof/>
                <w:webHidden/>
              </w:rPr>
              <w:fldChar w:fldCharType="begin"/>
            </w:r>
            <w:r w:rsidR="00CD0AF8">
              <w:rPr>
                <w:noProof/>
                <w:webHidden/>
              </w:rPr>
              <w:instrText xml:space="preserve"> PAGEREF _Toc124255046 \h </w:instrText>
            </w:r>
            <w:r w:rsidR="00CD0AF8">
              <w:rPr>
                <w:noProof/>
                <w:webHidden/>
              </w:rPr>
            </w:r>
            <w:r w:rsidR="00CD0AF8">
              <w:rPr>
                <w:noProof/>
                <w:webHidden/>
              </w:rPr>
              <w:fldChar w:fldCharType="separate"/>
            </w:r>
            <w:r w:rsidR="00CD0AF8">
              <w:rPr>
                <w:noProof/>
                <w:webHidden/>
              </w:rPr>
              <w:t>79</w:t>
            </w:r>
            <w:r w:rsidR="00CD0AF8">
              <w:rPr>
                <w:noProof/>
                <w:webHidden/>
              </w:rPr>
              <w:fldChar w:fldCharType="end"/>
            </w:r>
          </w:hyperlink>
        </w:p>
        <w:p w14:paraId="012492A7" w14:textId="2E728224"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47" w:history="1">
            <w:r w:rsidR="00CD0AF8" w:rsidRPr="009C0A3A">
              <w:rPr>
                <w:rStyle w:val="Hyperlink"/>
                <w:noProof/>
              </w:rPr>
              <w:t>7.</w:t>
            </w:r>
            <w:r w:rsidR="00CD0AF8">
              <w:rPr>
                <w:rFonts w:eastAsiaTheme="minorEastAsia" w:cstheme="minorBidi"/>
                <w:b w:val="0"/>
                <w:bCs w:val="0"/>
                <w:noProof/>
                <w:sz w:val="22"/>
                <w:szCs w:val="22"/>
              </w:rPr>
              <w:tab/>
            </w:r>
            <w:r w:rsidR="00CD0AF8" w:rsidRPr="009C0A3A">
              <w:rPr>
                <w:rStyle w:val="Hyperlink"/>
                <w:noProof/>
              </w:rPr>
              <w:t>Duration of Assistance</w:t>
            </w:r>
            <w:r w:rsidR="00CD0AF8">
              <w:rPr>
                <w:noProof/>
                <w:webHidden/>
              </w:rPr>
              <w:tab/>
            </w:r>
            <w:r w:rsidR="00CD0AF8">
              <w:rPr>
                <w:noProof/>
                <w:webHidden/>
              </w:rPr>
              <w:fldChar w:fldCharType="begin"/>
            </w:r>
            <w:r w:rsidR="00CD0AF8">
              <w:rPr>
                <w:noProof/>
                <w:webHidden/>
              </w:rPr>
              <w:instrText xml:space="preserve"> PAGEREF _Toc124255047 \h </w:instrText>
            </w:r>
            <w:r w:rsidR="00CD0AF8">
              <w:rPr>
                <w:noProof/>
                <w:webHidden/>
              </w:rPr>
            </w:r>
            <w:r w:rsidR="00CD0AF8">
              <w:rPr>
                <w:noProof/>
                <w:webHidden/>
              </w:rPr>
              <w:fldChar w:fldCharType="separate"/>
            </w:r>
            <w:r w:rsidR="00CD0AF8">
              <w:rPr>
                <w:noProof/>
                <w:webHidden/>
              </w:rPr>
              <w:t>80</w:t>
            </w:r>
            <w:r w:rsidR="00CD0AF8">
              <w:rPr>
                <w:noProof/>
                <w:webHidden/>
              </w:rPr>
              <w:fldChar w:fldCharType="end"/>
            </w:r>
          </w:hyperlink>
        </w:p>
        <w:p w14:paraId="731AB442" w14:textId="60DB8DF0"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48" w:history="1">
            <w:r w:rsidR="00CD0AF8" w:rsidRPr="009C0A3A">
              <w:rPr>
                <w:rStyle w:val="Hyperlink"/>
                <w:noProof/>
              </w:rPr>
              <w:t>8.</w:t>
            </w:r>
            <w:r w:rsidR="00CD0AF8">
              <w:rPr>
                <w:rFonts w:eastAsiaTheme="minorEastAsia" w:cstheme="minorBidi"/>
                <w:b w:val="0"/>
                <w:bCs w:val="0"/>
                <w:noProof/>
                <w:sz w:val="22"/>
                <w:szCs w:val="22"/>
              </w:rPr>
              <w:tab/>
            </w:r>
            <w:r w:rsidR="00CD0AF8" w:rsidRPr="009C0A3A">
              <w:rPr>
                <w:rStyle w:val="Hyperlink"/>
                <w:noProof/>
              </w:rPr>
              <w:t>ESG-CV Standards for Emergency Shelter</w:t>
            </w:r>
            <w:r w:rsidR="00CD0AF8">
              <w:rPr>
                <w:noProof/>
                <w:webHidden/>
              </w:rPr>
              <w:tab/>
            </w:r>
            <w:r w:rsidR="00CD0AF8">
              <w:rPr>
                <w:noProof/>
                <w:webHidden/>
              </w:rPr>
              <w:fldChar w:fldCharType="begin"/>
            </w:r>
            <w:r w:rsidR="00CD0AF8">
              <w:rPr>
                <w:noProof/>
                <w:webHidden/>
              </w:rPr>
              <w:instrText xml:space="preserve"> PAGEREF _Toc124255048 \h </w:instrText>
            </w:r>
            <w:r w:rsidR="00CD0AF8">
              <w:rPr>
                <w:noProof/>
                <w:webHidden/>
              </w:rPr>
            </w:r>
            <w:r w:rsidR="00CD0AF8">
              <w:rPr>
                <w:noProof/>
                <w:webHidden/>
              </w:rPr>
              <w:fldChar w:fldCharType="separate"/>
            </w:r>
            <w:r w:rsidR="00CD0AF8">
              <w:rPr>
                <w:noProof/>
                <w:webHidden/>
              </w:rPr>
              <w:t>81</w:t>
            </w:r>
            <w:r w:rsidR="00CD0AF8">
              <w:rPr>
                <w:noProof/>
                <w:webHidden/>
              </w:rPr>
              <w:fldChar w:fldCharType="end"/>
            </w:r>
          </w:hyperlink>
        </w:p>
        <w:p w14:paraId="62822C88" w14:textId="30585997" w:rsidR="00CD0AF8" w:rsidRDefault="00000000">
          <w:pPr>
            <w:pStyle w:val="TOC1"/>
            <w:tabs>
              <w:tab w:val="right" w:leader="dot" w:pos="12950"/>
            </w:tabs>
            <w:rPr>
              <w:rFonts w:eastAsiaTheme="minorEastAsia" w:cstheme="minorBidi"/>
              <w:b w:val="0"/>
              <w:bCs w:val="0"/>
              <w:i w:val="0"/>
              <w:iCs w:val="0"/>
              <w:noProof/>
              <w:sz w:val="22"/>
              <w:szCs w:val="22"/>
            </w:rPr>
          </w:pPr>
          <w:hyperlink w:anchor="_Toc124255049" w:history="1">
            <w:r w:rsidR="00CD0AF8" w:rsidRPr="009C0A3A">
              <w:rPr>
                <w:rStyle w:val="Hyperlink"/>
                <w:noProof/>
              </w:rPr>
              <w:t>Standards for Rapid Re-Housing</w:t>
            </w:r>
            <w:r w:rsidR="00CD0AF8">
              <w:rPr>
                <w:noProof/>
                <w:webHidden/>
              </w:rPr>
              <w:tab/>
            </w:r>
            <w:r w:rsidR="00CD0AF8">
              <w:rPr>
                <w:noProof/>
                <w:webHidden/>
              </w:rPr>
              <w:fldChar w:fldCharType="begin"/>
            </w:r>
            <w:r w:rsidR="00CD0AF8">
              <w:rPr>
                <w:noProof/>
                <w:webHidden/>
              </w:rPr>
              <w:instrText xml:space="preserve"> PAGEREF _Toc124255049 \h </w:instrText>
            </w:r>
            <w:r w:rsidR="00CD0AF8">
              <w:rPr>
                <w:noProof/>
                <w:webHidden/>
              </w:rPr>
            </w:r>
            <w:r w:rsidR="00CD0AF8">
              <w:rPr>
                <w:noProof/>
                <w:webHidden/>
              </w:rPr>
              <w:fldChar w:fldCharType="separate"/>
            </w:r>
            <w:r w:rsidR="00CD0AF8">
              <w:rPr>
                <w:noProof/>
                <w:webHidden/>
              </w:rPr>
              <w:t>83</w:t>
            </w:r>
            <w:r w:rsidR="00CD0AF8">
              <w:rPr>
                <w:noProof/>
                <w:webHidden/>
              </w:rPr>
              <w:fldChar w:fldCharType="end"/>
            </w:r>
          </w:hyperlink>
        </w:p>
        <w:p w14:paraId="36F339A5" w14:textId="6C619799"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50" w:history="1">
            <w:r w:rsidR="00CD0AF8" w:rsidRPr="009C0A3A">
              <w:rPr>
                <w:rStyle w:val="Hyperlink"/>
                <w:noProof/>
              </w:rPr>
              <w:t>1.</w:t>
            </w:r>
            <w:r w:rsidR="00CD0AF8">
              <w:rPr>
                <w:rFonts w:eastAsiaTheme="minorEastAsia" w:cstheme="minorBidi"/>
                <w:b w:val="0"/>
                <w:bCs w:val="0"/>
                <w:noProof/>
                <w:sz w:val="22"/>
                <w:szCs w:val="22"/>
              </w:rPr>
              <w:tab/>
            </w:r>
            <w:r w:rsidR="00CD0AF8" w:rsidRPr="009C0A3A">
              <w:rPr>
                <w:rStyle w:val="Hyperlink"/>
                <w:noProof/>
              </w:rPr>
              <w:t>Introduction</w:t>
            </w:r>
            <w:r w:rsidR="00CD0AF8">
              <w:rPr>
                <w:noProof/>
                <w:webHidden/>
              </w:rPr>
              <w:tab/>
            </w:r>
            <w:r w:rsidR="00CD0AF8">
              <w:rPr>
                <w:noProof/>
                <w:webHidden/>
              </w:rPr>
              <w:fldChar w:fldCharType="begin"/>
            </w:r>
            <w:r w:rsidR="00CD0AF8">
              <w:rPr>
                <w:noProof/>
                <w:webHidden/>
              </w:rPr>
              <w:instrText xml:space="preserve"> PAGEREF _Toc124255050 \h </w:instrText>
            </w:r>
            <w:r w:rsidR="00CD0AF8">
              <w:rPr>
                <w:noProof/>
                <w:webHidden/>
              </w:rPr>
            </w:r>
            <w:r w:rsidR="00CD0AF8">
              <w:rPr>
                <w:noProof/>
                <w:webHidden/>
              </w:rPr>
              <w:fldChar w:fldCharType="separate"/>
            </w:r>
            <w:r w:rsidR="00CD0AF8">
              <w:rPr>
                <w:noProof/>
                <w:webHidden/>
              </w:rPr>
              <w:t>83</w:t>
            </w:r>
            <w:r w:rsidR="00CD0AF8">
              <w:rPr>
                <w:noProof/>
                <w:webHidden/>
              </w:rPr>
              <w:fldChar w:fldCharType="end"/>
            </w:r>
          </w:hyperlink>
        </w:p>
        <w:p w14:paraId="2BF7396C" w14:textId="4911004B"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51" w:history="1">
            <w:r w:rsidR="00CD0AF8" w:rsidRPr="009C0A3A">
              <w:rPr>
                <w:rStyle w:val="Hyperlink"/>
                <w:noProof/>
              </w:rPr>
              <w:t>2.</w:t>
            </w:r>
            <w:r w:rsidR="00CD0AF8">
              <w:rPr>
                <w:rFonts w:eastAsiaTheme="minorEastAsia" w:cstheme="minorBidi"/>
                <w:b w:val="0"/>
                <w:bCs w:val="0"/>
                <w:noProof/>
                <w:sz w:val="22"/>
                <w:szCs w:val="22"/>
              </w:rPr>
              <w:tab/>
            </w:r>
            <w:r w:rsidR="00CD0AF8" w:rsidRPr="009C0A3A">
              <w:rPr>
                <w:rStyle w:val="Hyperlink"/>
                <w:noProof/>
              </w:rPr>
              <w:t>Eligibility</w:t>
            </w:r>
            <w:r w:rsidR="00CD0AF8">
              <w:rPr>
                <w:noProof/>
                <w:webHidden/>
              </w:rPr>
              <w:tab/>
            </w:r>
            <w:r w:rsidR="00CD0AF8">
              <w:rPr>
                <w:noProof/>
                <w:webHidden/>
              </w:rPr>
              <w:fldChar w:fldCharType="begin"/>
            </w:r>
            <w:r w:rsidR="00CD0AF8">
              <w:rPr>
                <w:noProof/>
                <w:webHidden/>
              </w:rPr>
              <w:instrText xml:space="preserve"> PAGEREF _Toc124255051 \h </w:instrText>
            </w:r>
            <w:r w:rsidR="00CD0AF8">
              <w:rPr>
                <w:noProof/>
                <w:webHidden/>
              </w:rPr>
            </w:r>
            <w:r w:rsidR="00CD0AF8">
              <w:rPr>
                <w:noProof/>
                <w:webHidden/>
              </w:rPr>
              <w:fldChar w:fldCharType="separate"/>
            </w:r>
            <w:r w:rsidR="00CD0AF8">
              <w:rPr>
                <w:noProof/>
                <w:webHidden/>
              </w:rPr>
              <w:t>83</w:t>
            </w:r>
            <w:r w:rsidR="00CD0AF8">
              <w:rPr>
                <w:noProof/>
                <w:webHidden/>
              </w:rPr>
              <w:fldChar w:fldCharType="end"/>
            </w:r>
          </w:hyperlink>
        </w:p>
        <w:p w14:paraId="4662ACD7" w14:textId="21C469F4"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52" w:history="1">
            <w:r w:rsidR="00CD0AF8" w:rsidRPr="009C0A3A">
              <w:rPr>
                <w:rStyle w:val="Hyperlink"/>
                <w:noProof/>
              </w:rPr>
              <w:t>3.</w:t>
            </w:r>
            <w:r w:rsidR="00CD0AF8">
              <w:rPr>
                <w:rFonts w:eastAsiaTheme="minorEastAsia" w:cstheme="minorBidi"/>
                <w:b w:val="0"/>
                <w:bCs w:val="0"/>
                <w:noProof/>
                <w:sz w:val="22"/>
                <w:szCs w:val="22"/>
              </w:rPr>
              <w:tab/>
            </w:r>
            <w:r w:rsidR="00CD0AF8" w:rsidRPr="009C0A3A">
              <w:rPr>
                <w:rStyle w:val="Hyperlink"/>
                <w:noProof/>
              </w:rPr>
              <w:t>Prioritization</w:t>
            </w:r>
            <w:r w:rsidR="00CD0AF8">
              <w:rPr>
                <w:noProof/>
                <w:webHidden/>
              </w:rPr>
              <w:tab/>
            </w:r>
            <w:r w:rsidR="00CD0AF8">
              <w:rPr>
                <w:noProof/>
                <w:webHidden/>
              </w:rPr>
              <w:fldChar w:fldCharType="begin"/>
            </w:r>
            <w:r w:rsidR="00CD0AF8">
              <w:rPr>
                <w:noProof/>
                <w:webHidden/>
              </w:rPr>
              <w:instrText xml:space="preserve"> PAGEREF _Toc124255052 \h </w:instrText>
            </w:r>
            <w:r w:rsidR="00CD0AF8">
              <w:rPr>
                <w:noProof/>
                <w:webHidden/>
              </w:rPr>
            </w:r>
            <w:r w:rsidR="00CD0AF8">
              <w:rPr>
                <w:noProof/>
                <w:webHidden/>
              </w:rPr>
              <w:fldChar w:fldCharType="separate"/>
            </w:r>
            <w:r w:rsidR="00CD0AF8">
              <w:rPr>
                <w:noProof/>
                <w:webHidden/>
              </w:rPr>
              <w:t>84</w:t>
            </w:r>
            <w:r w:rsidR="00CD0AF8">
              <w:rPr>
                <w:noProof/>
                <w:webHidden/>
              </w:rPr>
              <w:fldChar w:fldCharType="end"/>
            </w:r>
          </w:hyperlink>
        </w:p>
        <w:p w14:paraId="528D8E51" w14:textId="2CC0D05E"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53" w:history="1">
            <w:r w:rsidR="00CD0AF8" w:rsidRPr="009C0A3A">
              <w:rPr>
                <w:rStyle w:val="Hyperlink"/>
                <w:noProof/>
              </w:rPr>
              <w:t>4.</w:t>
            </w:r>
            <w:r w:rsidR="00CD0AF8">
              <w:rPr>
                <w:rFonts w:eastAsiaTheme="minorEastAsia" w:cstheme="minorBidi"/>
                <w:b w:val="0"/>
                <w:bCs w:val="0"/>
                <w:noProof/>
                <w:sz w:val="22"/>
                <w:szCs w:val="22"/>
              </w:rPr>
              <w:tab/>
            </w:r>
            <w:r w:rsidR="00CD0AF8" w:rsidRPr="009C0A3A">
              <w:rPr>
                <w:rStyle w:val="Hyperlink"/>
                <w:noProof/>
              </w:rPr>
              <w:t>Housing Requirements</w:t>
            </w:r>
            <w:r w:rsidR="00CD0AF8">
              <w:rPr>
                <w:noProof/>
                <w:webHidden/>
              </w:rPr>
              <w:tab/>
            </w:r>
            <w:r w:rsidR="00CD0AF8">
              <w:rPr>
                <w:noProof/>
                <w:webHidden/>
              </w:rPr>
              <w:fldChar w:fldCharType="begin"/>
            </w:r>
            <w:r w:rsidR="00CD0AF8">
              <w:rPr>
                <w:noProof/>
                <w:webHidden/>
              </w:rPr>
              <w:instrText xml:space="preserve"> PAGEREF _Toc124255053 \h </w:instrText>
            </w:r>
            <w:r w:rsidR="00CD0AF8">
              <w:rPr>
                <w:noProof/>
                <w:webHidden/>
              </w:rPr>
            </w:r>
            <w:r w:rsidR="00CD0AF8">
              <w:rPr>
                <w:noProof/>
                <w:webHidden/>
              </w:rPr>
              <w:fldChar w:fldCharType="separate"/>
            </w:r>
            <w:r w:rsidR="00CD0AF8">
              <w:rPr>
                <w:noProof/>
                <w:webHidden/>
              </w:rPr>
              <w:t>85</w:t>
            </w:r>
            <w:r w:rsidR="00CD0AF8">
              <w:rPr>
                <w:noProof/>
                <w:webHidden/>
              </w:rPr>
              <w:fldChar w:fldCharType="end"/>
            </w:r>
          </w:hyperlink>
        </w:p>
        <w:p w14:paraId="1B99ADF1" w14:textId="7C0F9F3B"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54" w:history="1">
            <w:r w:rsidR="00CD0AF8" w:rsidRPr="009C0A3A">
              <w:rPr>
                <w:rStyle w:val="Hyperlink"/>
                <w:noProof/>
              </w:rPr>
              <w:t>5.</w:t>
            </w:r>
            <w:r w:rsidR="00CD0AF8">
              <w:rPr>
                <w:rFonts w:eastAsiaTheme="minorEastAsia" w:cstheme="minorBidi"/>
                <w:b w:val="0"/>
                <w:bCs w:val="0"/>
                <w:noProof/>
                <w:sz w:val="22"/>
                <w:szCs w:val="22"/>
              </w:rPr>
              <w:tab/>
            </w:r>
            <w:r w:rsidR="00CD0AF8" w:rsidRPr="009C0A3A">
              <w:rPr>
                <w:rStyle w:val="Hyperlink"/>
                <w:noProof/>
              </w:rPr>
              <w:t>Service Requirements</w:t>
            </w:r>
            <w:r w:rsidR="00CD0AF8">
              <w:rPr>
                <w:noProof/>
                <w:webHidden/>
              </w:rPr>
              <w:tab/>
            </w:r>
            <w:r w:rsidR="00CD0AF8">
              <w:rPr>
                <w:noProof/>
                <w:webHidden/>
              </w:rPr>
              <w:fldChar w:fldCharType="begin"/>
            </w:r>
            <w:r w:rsidR="00CD0AF8">
              <w:rPr>
                <w:noProof/>
                <w:webHidden/>
              </w:rPr>
              <w:instrText xml:space="preserve"> PAGEREF _Toc124255054 \h </w:instrText>
            </w:r>
            <w:r w:rsidR="00CD0AF8">
              <w:rPr>
                <w:noProof/>
                <w:webHidden/>
              </w:rPr>
            </w:r>
            <w:r w:rsidR="00CD0AF8">
              <w:rPr>
                <w:noProof/>
                <w:webHidden/>
              </w:rPr>
              <w:fldChar w:fldCharType="separate"/>
            </w:r>
            <w:r w:rsidR="00CD0AF8">
              <w:rPr>
                <w:noProof/>
                <w:webHidden/>
              </w:rPr>
              <w:t>87</w:t>
            </w:r>
            <w:r w:rsidR="00CD0AF8">
              <w:rPr>
                <w:noProof/>
                <w:webHidden/>
              </w:rPr>
              <w:fldChar w:fldCharType="end"/>
            </w:r>
          </w:hyperlink>
        </w:p>
        <w:p w14:paraId="71B2BB55" w14:textId="75A862A6"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55" w:history="1">
            <w:r w:rsidR="00CD0AF8" w:rsidRPr="009C0A3A">
              <w:rPr>
                <w:rStyle w:val="Hyperlink"/>
                <w:noProof/>
              </w:rPr>
              <w:t>6.</w:t>
            </w:r>
            <w:r w:rsidR="00CD0AF8">
              <w:rPr>
                <w:rFonts w:eastAsiaTheme="minorEastAsia" w:cstheme="minorBidi"/>
                <w:b w:val="0"/>
                <w:bCs w:val="0"/>
                <w:noProof/>
                <w:sz w:val="22"/>
                <w:szCs w:val="22"/>
              </w:rPr>
              <w:tab/>
            </w:r>
            <w:r w:rsidR="00CD0AF8" w:rsidRPr="009C0A3A">
              <w:rPr>
                <w:rStyle w:val="Hyperlink"/>
                <w:noProof/>
              </w:rPr>
              <w:t>Duration of Assistance</w:t>
            </w:r>
            <w:r w:rsidR="00CD0AF8">
              <w:rPr>
                <w:noProof/>
                <w:webHidden/>
              </w:rPr>
              <w:tab/>
            </w:r>
            <w:r w:rsidR="00CD0AF8">
              <w:rPr>
                <w:noProof/>
                <w:webHidden/>
              </w:rPr>
              <w:fldChar w:fldCharType="begin"/>
            </w:r>
            <w:r w:rsidR="00CD0AF8">
              <w:rPr>
                <w:noProof/>
                <w:webHidden/>
              </w:rPr>
              <w:instrText xml:space="preserve"> PAGEREF _Toc124255055 \h </w:instrText>
            </w:r>
            <w:r w:rsidR="00CD0AF8">
              <w:rPr>
                <w:noProof/>
                <w:webHidden/>
              </w:rPr>
            </w:r>
            <w:r w:rsidR="00CD0AF8">
              <w:rPr>
                <w:noProof/>
                <w:webHidden/>
              </w:rPr>
              <w:fldChar w:fldCharType="separate"/>
            </w:r>
            <w:r w:rsidR="00CD0AF8">
              <w:rPr>
                <w:noProof/>
                <w:webHidden/>
              </w:rPr>
              <w:t>90</w:t>
            </w:r>
            <w:r w:rsidR="00CD0AF8">
              <w:rPr>
                <w:noProof/>
                <w:webHidden/>
              </w:rPr>
              <w:fldChar w:fldCharType="end"/>
            </w:r>
          </w:hyperlink>
        </w:p>
        <w:p w14:paraId="70C9A256" w14:textId="2A4AC269" w:rsidR="00CD0AF8" w:rsidRDefault="00000000">
          <w:pPr>
            <w:pStyle w:val="TOC2"/>
            <w:tabs>
              <w:tab w:val="right" w:leader="dot" w:pos="12950"/>
            </w:tabs>
            <w:rPr>
              <w:rFonts w:eastAsiaTheme="minorEastAsia" w:cstheme="minorBidi"/>
              <w:b w:val="0"/>
              <w:bCs w:val="0"/>
              <w:noProof/>
              <w:sz w:val="22"/>
              <w:szCs w:val="22"/>
            </w:rPr>
          </w:pPr>
          <w:hyperlink w:anchor="_Toc124255056" w:history="1">
            <w:r w:rsidR="00CD0AF8" w:rsidRPr="009C0A3A">
              <w:rPr>
                <w:rStyle w:val="Hyperlink"/>
                <w:noProof/>
              </w:rPr>
              <w:t>7.ESG-CV Standards for Rapid Rehousing</w:t>
            </w:r>
            <w:r w:rsidR="00CD0AF8">
              <w:rPr>
                <w:noProof/>
                <w:webHidden/>
              </w:rPr>
              <w:tab/>
            </w:r>
            <w:r w:rsidR="00CD0AF8">
              <w:rPr>
                <w:noProof/>
                <w:webHidden/>
              </w:rPr>
              <w:fldChar w:fldCharType="begin"/>
            </w:r>
            <w:r w:rsidR="00CD0AF8">
              <w:rPr>
                <w:noProof/>
                <w:webHidden/>
              </w:rPr>
              <w:instrText xml:space="preserve"> PAGEREF _Toc124255056 \h </w:instrText>
            </w:r>
            <w:r w:rsidR="00CD0AF8">
              <w:rPr>
                <w:noProof/>
                <w:webHidden/>
              </w:rPr>
            </w:r>
            <w:r w:rsidR="00CD0AF8">
              <w:rPr>
                <w:noProof/>
                <w:webHidden/>
              </w:rPr>
              <w:fldChar w:fldCharType="separate"/>
            </w:r>
            <w:r w:rsidR="00CD0AF8">
              <w:rPr>
                <w:noProof/>
                <w:webHidden/>
              </w:rPr>
              <w:t>91</w:t>
            </w:r>
            <w:r w:rsidR="00CD0AF8">
              <w:rPr>
                <w:noProof/>
                <w:webHidden/>
              </w:rPr>
              <w:fldChar w:fldCharType="end"/>
            </w:r>
          </w:hyperlink>
        </w:p>
        <w:p w14:paraId="0265C431" w14:textId="1D2B5B60" w:rsidR="00CD0AF8" w:rsidRDefault="00000000">
          <w:pPr>
            <w:pStyle w:val="TOC1"/>
            <w:tabs>
              <w:tab w:val="right" w:leader="dot" w:pos="12950"/>
            </w:tabs>
            <w:rPr>
              <w:rFonts w:eastAsiaTheme="minorEastAsia" w:cstheme="minorBidi"/>
              <w:b w:val="0"/>
              <w:bCs w:val="0"/>
              <w:i w:val="0"/>
              <w:iCs w:val="0"/>
              <w:noProof/>
              <w:sz w:val="22"/>
              <w:szCs w:val="22"/>
            </w:rPr>
          </w:pPr>
          <w:hyperlink w:anchor="_Toc124255057" w:history="1">
            <w:r w:rsidR="00CD0AF8" w:rsidRPr="009C0A3A">
              <w:rPr>
                <w:rStyle w:val="Hyperlink"/>
                <w:noProof/>
              </w:rPr>
              <w:t>Standards for Homeless Prevention</w:t>
            </w:r>
            <w:r w:rsidR="00CD0AF8">
              <w:rPr>
                <w:noProof/>
                <w:webHidden/>
              </w:rPr>
              <w:tab/>
            </w:r>
            <w:r w:rsidR="00CD0AF8">
              <w:rPr>
                <w:noProof/>
                <w:webHidden/>
              </w:rPr>
              <w:fldChar w:fldCharType="begin"/>
            </w:r>
            <w:r w:rsidR="00CD0AF8">
              <w:rPr>
                <w:noProof/>
                <w:webHidden/>
              </w:rPr>
              <w:instrText xml:space="preserve"> PAGEREF _Toc124255057 \h </w:instrText>
            </w:r>
            <w:r w:rsidR="00CD0AF8">
              <w:rPr>
                <w:noProof/>
                <w:webHidden/>
              </w:rPr>
            </w:r>
            <w:r w:rsidR="00CD0AF8">
              <w:rPr>
                <w:noProof/>
                <w:webHidden/>
              </w:rPr>
              <w:fldChar w:fldCharType="separate"/>
            </w:r>
            <w:r w:rsidR="00CD0AF8">
              <w:rPr>
                <w:noProof/>
                <w:webHidden/>
              </w:rPr>
              <w:t>95</w:t>
            </w:r>
            <w:r w:rsidR="00CD0AF8">
              <w:rPr>
                <w:noProof/>
                <w:webHidden/>
              </w:rPr>
              <w:fldChar w:fldCharType="end"/>
            </w:r>
          </w:hyperlink>
        </w:p>
        <w:p w14:paraId="15244486" w14:textId="25D229C8"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58" w:history="1">
            <w:r w:rsidR="00CD0AF8" w:rsidRPr="009C0A3A">
              <w:rPr>
                <w:rStyle w:val="Hyperlink"/>
                <w:noProof/>
              </w:rPr>
              <w:t>1.</w:t>
            </w:r>
            <w:r w:rsidR="00CD0AF8">
              <w:rPr>
                <w:rFonts w:eastAsiaTheme="minorEastAsia" w:cstheme="minorBidi"/>
                <w:b w:val="0"/>
                <w:bCs w:val="0"/>
                <w:noProof/>
                <w:sz w:val="22"/>
                <w:szCs w:val="22"/>
              </w:rPr>
              <w:tab/>
            </w:r>
            <w:r w:rsidR="00CD0AF8" w:rsidRPr="009C0A3A">
              <w:rPr>
                <w:rStyle w:val="Hyperlink"/>
                <w:noProof/>
              </w:rPr>
              <w:t>Introduction</w:t>
            </w:r>
            <w:r w:rsidR="00CD0AF8">
              <w:rPr>
                <w:noProof/>
                <w:webHidden/>
              </w:rPr>
              <w:tab/>
            </w:r>
            <w:r w:rsidR="00CD0AF8">
              <w:rPr>
                <w:noProof/>
                <w:webHidden/>
              </w:rPr>
              <w:fldChar w:fldCharType="begin"/>
            </w:r>
            <w:r w:rsidR="00CD0AF8">
              <w:rPr>
                <w:noProof/>
                <w:webHidden/>
              </w:rPr>
              <w:instrText xml:space="preserve"> PAGEREF _Toc124255058 \h </w:instrText>
            </w:r>
            <w:r w:rsidR="00CD0AF8">
              <w:rPr>
                <w:noProof/>
                <w:webHidden/>
              </w:rPr>
            </w:r>
            <w:r w:rsidR="00CD0AF8">
              <w:rPr>
                <w:noProof/>
                <w:webHidden/>
              </w:rPr>
              <w:fldChar w:fldCharType="separate"/>
            </w:r>
            <w:r w:rsidR="00CD0AF8">
              <w:rPr>
                <w:noProof/>
                <w:webHidden/>
              </w:rPr>
              <w:t>95</w:t>
            </w:r>
            <w:r w:rsidR="00CD0AF8">
              <w:rPr>
                <w:noProof/>
                <w:webHidden/>
              </w:rPr>
              <w:fldChar w:fldCharType="end"/>
            </w:r>
          </w:hyperlink>
        </w:p>
        <w:p w14:paraId="2B658F6A" w14:textId="6D1EE9B1"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59" w:history="1">
            <w:r w:rsidR="00CD0AF8" w:rsidRPr="009C0A3A">
              <w:rPr>
                <w:rStyle w:val="Hyperlink"/>
                <w:noProof/>
              </w:rPr>
              <w:t>2.</w:t>
            </w:r>
            <w:r w:rsidR="00CD0AF8">
              <w:rPr>
                <w:rFonts w:eastAsiaTheme="minorEastAsia" w:cstheme="minorBidi"/>
                <w:b w:val="0"/>
                <w:bCs w:val="0"/>
                <w:noProof/>
                <w:sz w:val="22"/>
                <w:szCs w:val="22"/>
              </w:rPr>
              <w:tab/>
            </w:r>
            <w:r w:rsidR="00CD0AF8" w:rsidRPr="009C0A3A">
              <w:rPr>
                <w:rStyle w:val="Hyperlink"/>
                <w:noProof/>
              </w:rPr>
              <w:t>Eligibility</w:t>
            </w:r>
            <w:r w:rsidR="00CD0AF8">
              <w:rPr>
                <w:noProof/>
                <w:webHidden/>
              </w:rPr>
              <w:tab/>
            </w:r>
            <w:r w:rsidR="00CD0AF8">
              <w:rPr>
                <w:noProof/>
                <w:webHidden/>
              </w:rPr>
              <w:fldChar w:fldCharType="begin"/>
            </w:r>
            <w:r w:rsidR="00CD0AF8">
              <w:rPr>
                <w:noProof/>
                <w:webHidden/>
              </w:rPr>
              <w:instrText xml:space="preserve"> PAGEREF _Toc124255059 \h </w:instrText>
            </w:r>
            <w:r w:rsidR="00CD0AF8">
              <w:rPr>
                <w:noProof/>
                <w:webHidden/>
              </w:rPr>
            </w:r>
            <w:r w:rsidR="00CD0AF8">
              <w:rPr>
                <w:noProof/>
                <w:webHidden/>
              </w:rPr>
              <w:fldChar w:fldCharType="separate"/>
            </w:r>
            <w:r w:rsidR="00CD0AF8">
              <w:rPr>
                <w:noProof/>
                <w:webHidden/>
              </w:rPr>
              <w:t>95</w:t>
            </w:r>
            <w:r w:rsidR="00CD0AF8">
              <w:rPr>
                <w:noProof/>
                <w:webHidden/>
              </w:rPr>
              <w:fldChar w:fldCharType="end"/>
            </w:r>
          </w:hyperlink>
        </w:p>
        <w:p w14:paraId="723BB1F7" w14:textId="7E6A60BB"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60" w:history="1">
            <w:r w:rsidR="00CD0AF8" w:rsidRPr="009C0A3A">
              <w:rPr>
                <w:rStyle w:val="Hyperlink"/>
                <w:noProof/>
              </w:rPr>
              <w:t>3.</w:t>
            </w:r>
            <w:r w:rsidR="00CD0AF8">
              <w:rPr>
                <w:rFonts w:eastAsiaTheme="minorEastAsia" w:cstheme="minorBidi"/>
                <w:b w:val="0"/>
                <w:bCs w:val="0"/>
                <w:noProof/>
                <w:sz w:val="22"/>
                <w:szCs w:val="22"/>
              </w:rPr>
              <w:tab/>
            </w:r>
            <w:r w:rsidR="00CD0AF8" w:rsidRPr="009C0A3A">
              <w:rPr>
                <w:rStyle w:val="Hyperlink"/>
                <w:noProof/>
              </w:rPr>
              <w:t>Prioritization</w:t>
            </w:r>
            <w:r w:rsidR="00CD0AF8">
              <w:rPr>
                <w:noProof/>
                <w:webHidden/>
              </w:rPr>
              <w:tab/>
            </w:r>
            <w:r w:rsidR="00CD0AF8">
              <w:rPr>
                <w:noProof/>
                <w:webHidden/>
              </w:rPr>
              <w:fldChar w:fldCharType="begin"/>
            </w:r>
            <w:r w:rsidR="00CD0AF8">
              <w:rPr>
                <w:noProof/>
                <w:webHidden/>
              </w:rPr>
              <w:instrText xml:space="preserve"> PAGEREF _Toc124255060 \h </w:instrText>
            </w:r>
            <w:r w:rsidR="00CD0AF8">
              <w:rPr>
                <w:noProof/>
                <w:webHidden/>
              </w:rPr>
            </w:r>
            <w:r w:rsidR="00CD0AF8">
              <w:rPr>
                <w:noProof/>
                <w:webHidden/>
              </w:rPr>
              <w:fldChar w:fldCharType="separate"/>
            </w:r>
            <w:r w:rsidR="00CD0AF8">
              <w:rPr>
                <w:noProof/>
                <w:webHidden/>
              </w:rPr>
              <w:t>95</w:t>
            </w:r>
            <w:r w:rsidR="00CD0AF8">
              <w:rPr>
                <w:noProof/>
                <w:webHidden/>
              </w:rPr>
              <w:fldChar w:fldCharType="end"/>
            </w:r>
          </w:hyperlink>
        </w:p>
        <w:p w14:paraId="77275679" w14:textId="00CFC911"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61" w:history="1">
            <w:r w:rsidR="00CD0AF8" w:rsidRPr="009C0A3A">
              <w:rPr>
                <w:rStyle w:val="Hyperlink"/>
                <w:noProof/>
              </w:rPr>
              <w:t>4.</w:t>
            </w:r>
            <w:r w:rsidR="00CD0AF8">
              <w:rPr>
                <w:rFonts w:eastAsiaTheme="minorEastAsia" w:cstheme="minorBidi"/>
                <w:b w:val="0"/>
                <w:bCs w:val="0"/>
                <w:noProof/>
                <w:sz w:val="22"/>
                <w:szCs w:val="22"/>
              </w:rPr>
              <w:tab/>
            </w:r>
            <w:r w:rsidR="00CD0AF8" w:rsidRPr="009C0A3A">
              <w:rPr>
                <w:rStyle w:val="Hyperlink"/>
                <w:noProof/>
              </w:rPr>
              <w:t>Housing Requirements</w:t>
            </w:r>
            <w:r w:rsidR="00CD0AF8">
              <w:rPr>
                <w:noProof/>
                <w:webHidden/>
              </w:rPr>
              <w:tab/>
            </w:r>
            <w:r w:rsidR="00CD0AF8">
              <w:rPr>
                <w:noProof/>
                <w:webHidden/>
              </w:rPr>
              <w:fldChar w:fldCharType="begin"/>
            </w:r>
            <w:r w:rsidR="00CD0AF8">
              <w:rPr>
                <w:noProof/>
                <w:webHidden/>
              </w:rPr>
              <w:instrText xml:space="preserve"> PAGEREF _Toc124255061 \h </w:instrText>
            </w:r>
            <w:r w:rsidR="00CD0AF8">
              <w:rPr>
                <w:noProof/>
                <w:webHidden/>
              </w:rPr>
            </w:r>
            <w:r w:rsidR="00CD0AF8">
              <w:rPr>
                <w:noProof/>
                <w:webHidden/>
              </w:rPr>
              <w:fldChar w:fldCharType="separate"/>
            </w:r>
            <w:r w:rsidR="00CD0AF8">
              <w:rPr>
                <w:noProof/>
                <w:webHidden/>
              </w:rPr>
              <w:t>96</w:t>
            </w:r>
            <w:r w:rsidR="00CD0AF8">
              <w:rPr>
                <w:noProof/>
                <w:webHidden/>
              </w:rPr>
              <w:fldChar w:fldCharType="end"/>
            </w:r>
          </w:hyperlink>
        </w:p>
        <w:p w14:paraId="3B2D6900" w14:textId="3791A0A3"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62" w:history="1">
            <w:r w:rsidR="00CD0AF8" w:rsidRPr="009C0A3A">
              <w:rPr>
                <w:rStyle w:val="Hyperlink"/>
                <w:noProof/>
              </w:rPr>
              <w:t>5.</w:t>
            </w:r>
            <w:r w:rsidR="00CD0AF8">
              <w:rPr>
                <w:rFonts w:eastAsiaTheme="minorEastAsia" w:cstheme="minorBidi"/>
                <w:b w:val="0"/>
                <w:bCs w:val="0"/>
                <w:noProof/>
                <w:sz w:val="22"/>
                <w:szCs w:val="22"/>
              </w:rPr>
              <w:tab/>
            </w:r>
            <w:r w:rsidR="00CD0AF8" w:rsidRPr="009C0A3A">
              <w:rPr>
                <w:rStyle w:val="Hyperlink"/>
                <w:noProof/>
              </w:rPr>
              <w:t>Service Requirements</w:t>
            </w:r>
            <w:r w:rsidR="00CD0AF8">
              <w:rPr>
                <w:noProof/>
                <w:webHidden/>
              </w:rPr>
              <w:tab/>
            </w:r>
            <w:r w:rsidR="00CD0AF8">
              <w:rPr>
                <w:noProof/>
                <w:webHidden/>
              </w:rPr>
              <w:fldChar w:fldCharType="begin"/>
            </w:r>
            <w:r w:rsidR="00CD0AF8">
              <w:rPr>
                <w:noProof/>
                <w:webHidden/>
              </w:rPr>
              <w:instrText xml:space="preserve"> PAGEREF _Toc124255062 \h </w:instrText>
            </w:r>
            <w:r w:rsidR="00CD0AF8">
              <w:rPr>
                <w:noProof/>
                <w:webHidden/>
              </w:rPr>
            </w:r>
            <w:r w:rsidR="00CD0AF8">
              <w:rPr>
                <w:noProof/>
                <w:webHidden/>
              </w:rPr>
              <w:fldChar w:fldCharType="separate"/>
            </w:r>
            <w:r w:rsidR="00CD0AF8">
              <w:rPr>
                <w:noProof/>
                <w:webHidden/>
              </w:rPr>
              <w:t>96</w:t>
            </w:r>
            <w:r w:rsidR="00CD0AF8">
              <w:rPr>
                <w:noProof/>
                <w:webHidden/>
              </w:rPr>
              <w:fldChar w:fldCharType="end"/>
            </w:r>
          </w:hyperlink>
        </w:p>
        <w:p w14:paraId="58220761" w14:textId="06B0F476"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63" w:history="1">
            <w:r w:rsidR="00CD0AF8" w:rsidRPr="009C0A3A">
              <w:rPr>
                <w:rStyle w:val="Hyperlink"/>
                <w:noProof/>
              </w:rPr>
              <w:t>6.</w:t>
            </w:r>
            <w:r w:rsidR="00CD0AF8">
              <w:rPr>
                <w:rFonts w:eastAsiaTheme="minorEastAsia" w:cstheme="minorBidi"/>
                <w:b w:val="0"/>
                <w:bCs w:val="0"/>
                <w:noProof/>
                <w:sz w:val="22"/>
                <w:szCs w:val="22"/>
              </w:rPr>
              <w:tab/>
            </w:r>
            <w:r w:rsidR="00CD0AF8" w:rsidRPr="009C0A3A">
              <w:rPr>
                <w:rStyle w:val="Hyperlink"/>
                <w:noProof/>
              </w:rPr>
              <w:t>Duration of Assistance</w:t>
            </w:r>
            <w:r w:rsidR="00CD0AF8">
              <w:rPr>
                <w:noProof/>
                <w:webHidden/>
              </w:rPr>
              <w:tab/>
            </w:r>
            <w:r w:rsidR="00CD0AF8">
              <w:rPr>
                <w:noProof/>
                <w:webHidden/>
              </w:rPr>
              <w:fldChar w:fldCharType="begin"/>
            </w:r>
            <w:r w:rsidR="00CD0AF8">
              <w:rPr>
                <w:noProof/>
                <w:webHidden/>
              </w:rPr>
              <w:instrText xml:space="preserve"> PAGEREF _Toc124255063 \h </w:instrText>
            </w:r>
            <w:r w:rsidR="00CD0AF8">
              <w:rPr>
                <w:noProof/>
                <w:webHidden/>
              </w:rPr>
            </w:r>
            <w:r w:rsidR="00CD0AF8">
              <w:rPr>
                <w:noProof/>
                <w:webHidden/>
              </w:rPr>
              <w:fldChar w:fldCharType="separate"/>
            </w:r>
            <w:r w:rsidR="00CD0AF8">
              <w:rPr>
                <w:noProof/>
                <w:webHidden/>
              </w:rPr>
              <w:t>99</w:t>
            </w:r>
            <w:r w:rsidR="00CD0AF8">
              <w:rPr>
                <w:noProof/>
                <w:webHidden/>
              </w:rPr>
              <w:fldChar w:fldCharType="end"/>
            </w:r>
          </w:hyperlink>
        </w:p>
        <w:p w14:paraId="2C820109" w14:textId="1D71F0E3"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64" w:history="1">
            <w:r w:rsidR="00CD0AF8" w:rsidRPr="009C0A3A">
              <w:rPr>
                <w:rStyle w:val="Hyperlink"/>
                <w:noProof/>
              </w:rPr>
              <w:t>7.</w:t>
            </w:r>
            <w:r w:rsidR="00CD0AF8">
              <w:rPr>
                <w:rFonts w:eastAsiaTheme="minorEastAsia" w:cstheme="minorBidi"/>
                <w:b w:val="0"/>
                <w:bCs w:val="0"/>
                <w:noProof/>
                <w:sz w:val="22"/>
                <w:szCs w:val="22"/>
              </w:rPr>
              <w:tab/>
            </w:r>
            <w:r w:rsidR="00CD0AF8" w:rsidRPr="009C0A3A">
              <w:rPr>
                <w:rStyle w:val="Hyperlink"/>
                <w:noProof/>
              </w:rPr>
              <w:t>ESG-CV Standards for Homeless Prevention</w:t>
            </w:r>
            <w:r w:rsidR="00CD0AF8">
              <w:rPr>
                <w:noProof/>
                <w:webHidden/>
              </w:rPr>
              <w:tab/>
            </w:r>
            <w:r w:rsidR="00CD0AF8">
              <w:rPr>
                <w:noProof/>
                <w:webHidden/>
              </w:rPr>
              <w:fldChar w:fldCharType="begin"/>
            </w:r>
            <w:r w:rsidR="00CD0AF8">
              <w:rPr>
                <w:noProof/>
                <w:webHidden/>
              </w:rPr>
              <w:instrText xml:space="preserve"> PAGEREF _Toc124255064 \h </w:instrText>
            </w:r>
            <w:r w:rsidR="00CD0AF8">
              <w:rPr>
                <w:noProof/>
                <w:webHidden/>
              </w:rPr>
            </w:r>
            <w:r w:rsidR="00CD0AF8">
              <w:rPr>
                <w:noProof/>
                <w:webHidden/>
              </w:rPr>
              <w:fldChar w:fldCharType="separate"/>
            </w:r>
            <w:r w:rsidR="00CD0AF8">
              <w:rPr>
                <w:noProof/>
                <w:webHidden/>
              </w:rPr>
              <w:t>99</w:t>
            </w:r>
            <w:r w:rsidR="00CD0AF8">
              <w:rPr>
                <w:noProof/>
                <w:webHidden/>
              </w:rPr>
              <w:fldChar w:fldCharType="end"/>
            </w:r>
          </w:hyperlink>
        </w:p>
        <w:p w14:paraId="126E8639" w14:textId="3CF23DA9" w:rsidR="00CD0AF8" w:rsidRDefault="00000000">
          <w:pPr>
            <w:pStyle w:val="TOC1"/>
            <w:tabs>
              <w:tab w:val="right" w:leader="dot" w:pos="12950"/>
            </w:tabs>
            <w:rPr>
              <w:rFonts w:eastAsiaTheme="minorEastAsia" w:cstheme="minorBidi"/>
              <w:b w:val="0"/>
              <w:bCs w:val="0"/>
              <w:i w:val="0"/>
              <w:iCs w:val="0"/>
              <w:noProof/>
              <w:sz w:val="22"/>
              <w:szCs w:val="22"/>
            </w:rPr>
          </w:pPr>
          <w:hyperlink w:anchor="_Toc124255065" w:history="1">
            <w:r w:rsidR="00CD0AF8" w:rsidRPr="009C0A3A">
              <w:rPr>
                <w:rStyle w:val="Hyperlink"/>
                <w:noProof/>
              </w:rPr>
              <w:t>Standards for Permanent Supportive Housing</w:t>
            </w:r>
            <w:r w:rsidR="00CD0AF8">
              <w:rPr>
                <w:noProof/>
                <w:webHidden/>
              </w:rPr>
              <w:tab/>
            </w:r>
            <w:r w:rsidR="00CD0AF8">
              <w:rPr>
                <w:noProof/>
                <w:webHidden/>
              </w:rPr>
              <w:fldChar w:fldCharType="begin"/>
            </w:r>
            <w:r w:rsidR="00CD0AF8">
              <w:rPr>
                <w:noProof/>
                <w:webHidden/>
              </w:rPr>
              <w:instrText xml:space="preserve"> PAGEREF _Toc124255065 \h </w:instrText>
            </w:r>
            <w:r w:rsidR="00CD0AF8">
              <w:rPr>
                <w:noProof/>
                <w:webHidden/>
              </w:rPr>
            </w:r>
            <w:r w:rsidR="00CD0AF8">
              <w:rPr>
                <w:noProof/>
                <w:webHidden/>
              </w:rPr>
              <w:fldChar w:fldCharType="separate"/>
            </w:r>
            <w:r w:rsidR="00CD0AF8">
              <w:rPr>
                <w:noProof/>
                <w:webHidden/>
              </w:rPr>
              <w:t>104</w:t>
            </w:r>
            <w:r w:rsidR="00CD0AF8">
              <w:rPr>
                <w:noProof/>
                <w:webHidden/>
              </w:rPr>
              <w:fldChar w:fldCharType="end"/>
            </w:r>
          </w:hyperlink>
        </w:p>
        <w:p w14:paraId="351FE4EA" w14:textId="5238B6BE"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66" w:history="1">
            <w:r w:rsidR="00CD0AF8" w:rsidRPr="009C0A3A">
              <w:rPr>
                <w:rStyle w:val="Hyperlink"/>
                <w:noProof/>
              </w:rPr>
              <w:t>1.</w:t>
            </w:r>
            <w:r w:rsidR="00CD0AF8">
              <w:rPr>
                <w:rFonts w:eastAsiaTheme="minorEastAsia" w:cstheme="minorBidi"/>
                <w:b w:val="0"/>
                <w:bCs w:val="0"/>
                <w:noProof/>
                <w:sz w:val="22"/>
                <w:szCs w:val="22"/>
              </w:rPr>
              <w:tab/>
            </w:r>
            <w:r w:rsidR="00CD0AF8" w:rsidRPr="009C0A3A">
              <w:rPr>
                <w:rStyle w:val="Hyperlink"/>
                <w:noProof/>
              </w:rPr>
              <w:t>Introduction</w:t>
            </w:r>
            <w:r w:rsidR="00CD0AF8">
              <w:rPr>
                <w:noProof/>
                <w:webHidden/>
              </w:rPr>
              <w:tab/>
            </w:r>
            <w:r w:rsidR="00CD0AF8">
              <w:rPr>
                <w:noProof/>
                <w:webHidden/>
              </w:rPr>
              <w:fldChar w:fldCharType="begin"/>
            </w:r>
            <w:r w:rsidR="00CD0AF8">
              <w:rPr>
                <w:noProof/>
                <w:webHidden/>
              </w:rPr>
              <w:instrText xml:space="preserve"> PAGEREF _Toc124255066 \h </w:instrText>
            </w:r>
            <w:r w:rsidR="00CD0AF8">
              <w:rPr>
                <w:noProof/>
                <w:webHidden/>
              </w:rPr>
            </w:r>
            <w:r w:rsidR="00CD0AF8">
              <w:rPr>
                <w:noProof/>
                <w:webHidden/>
              </w:rPr>
              <w:fldChar w:fldCharType="separate"/>
            </w:r>
            <w:r w:rsidR="00CD0AF8">
              <w:rPr>
                <w:noProof/>
                <w:webHidden/>
              </w:rPr>
              <w:t>104</w:t>
            </w:r>
            <w:r w:rsidR="00CD0AF8">
              <w:rPr>
                <w:noProof/>
                <w:webHidden/>
              </w:rPr>
              <w:fldChar w:fldCharType="end"/>
            </w:r>
          </w:hyperlink>
        </w:p>
        <w:p w14:paraId="239DC54B" w14:textId="4BFE922E"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67" w:history="1">
            <w:r w:rsidR="00CD0AF8" w:rsidRPr="009C0A3A">
              <w:rPr>
                <w:rStyle w:val="Hyperlink"/>
                <w:noProof/>
              </w:rPr>
              <w:t>2.</w:t>
            </w:r>
            <w:r w:rsidR="00CD0AF8">
              <w:rPr>
                <w:rFonts w:eastAsiaTheme="minorEastAsia" w:cstheme="minorBidi"/>
                <w:b w:val="0"/>
                <w:bCs w:val="0"/>
                <w:noProof/>
                <w:sz w:val="22"/>
                <w:szCs w:val="22"/>
              </w:rPr>
              <w:tab/>
            </w:r>
            <w:r w:rsidR="00CD0AF8" w:rsidRPr="009C0A3A">
              <w:rPr>
                <w:rStyle w:val="Hyperlink"/>
                <w:noProof/>
              </w:rPr>
              <w:t>Eligibility</w:t>
            </w:r>
            <w:r w:rsidR="00CD0AF8">
              <w:rPr>
                <w:noProof/>
                <w:webHidden/>
              </w:rPr>
              <w:tab/>
            </w:r>
            <w:r w:rsidR="00CD0AF8">
              <w:rPr>
                <w:noProof/>
                <w:webHidden/>
              </w:rPr>
              <w:fldChar w:fldCharType="begin"/>
            </w:r>
            <w:r w:rsidR="00CD0AF8">
              <w:rPr>
                <w:noProof/>
                <w:webHidden/>
              </w:rPr>
              <w:instrText xml:space="preserve"> PAGEREF _Toc124255067 \h </w:instrText>
            </w:r>
            <w:r w:rsidR="00CD0AF8">
              <w:rPr>
                <w:noProof/>
                <w:webHidden/>
              </w:rPr>
            </w:r>
            <w:r w:rsidR="00CD0AF8">
              <w:rPr>
                <w:noProof/>
                <w:webHidden/>
              </w:rPr>
              <w:fldChar w:fldCharType="separate"/>
            </w:r>
            <w:r w:rsidR="00CD0AF8">
              <w:rPr>
                <w:noProof/>
                <w:webHidden/>
              </w:rPr>
              <w:t>104</w:t>
            </w:r>
            <w:r w:rsidR="00CD0AF8">
              <w:rPr>
                <w:noProof/>
                <w:webHidden/>
              </w:rPr>
              <w:fldChar w:fldCharType="end"/>
            </w:r>
          </w:hyperlink>
        </w:p>
        <w:p w14:paraId="76A69161" w14:textId="51967174"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68" w:history="1">
            <w:r w:rsidR="00CD0AF8" w:rsidRPr="009C0A3A">
              <w:rPr>
                <w:rStyle w:val="Hyperlink"/>
                <w:noProof/>
              </w:rPr>
              <w:t>3.</w:t>
            </w:r>
            <w:r w:rsidR="00CD0AF8">
              <w:rPr>
                <w:rFonts w:eastAsiaTheme="minorEastAsia" w:cstheme="minorBidi"/>
                <w:b w:val="0"/>
                <w:bCs w:val="0"/>
                <w:noProof/>
                <w:sz w:val="22"/>
                <w:szCs w:val="22"/>
              </w:rPr>
              <w:tab/>
            </w:r>
            <w:r w:rsidR="00CD0AF8" w:rsidRPr="009C0A3A">
              <w:rPr>
                <w:rStyle w:val="Hyperlink"/>
                <w:noProof/>
              </w:rPr>
              <w:t>Prioritization</w:t>
            </w:r>
            <w:r w:rsidR="00CD0AF8">
              <w:rPr>
                <w:noProof/>
                <w:webHidden/>
              </w:rPr>
              <w:tab/>
            </w:r>
            <w:r w:rsidR="00CD0AF8">
              <w:rPr>
                <w:noProof/>
                <w:webHidden/>
              </w:rPr>
              <w:fldChar w:fldCharType="begin"/>
            </w:r>
            <w:r w:rsidR="00CD0AF8">
              <w:rPr>
                <w:noProof/>
                <w:webHidden/>
              </w:rPr>
              <w:instrText xml:space="preserve"> PAGEREF _Toc124255068 \h </w:instrText>
            </w:r>
            <w:r w:rsidR="00CD0AF8">
              <w:rPr>
                <w:noProof/>
                <w:webHidden/>
              </w:rPr>
            </w:r>
            <w:r w:rsidR="00CD0AF8">
              <w:rPr>
                <w:noProof/>
                <w:webHidden/>
              </w:rPr>
              <w:fldChar w:fldCharType="separate"/>
            </w:r>
            <w:r w:rsidR="00CD0AF8">
              <w:rPr>
                <w:noProof/>
                <w:webHidden/>
              </w:rPr>
              <w:t>104</w:t>
            </w:r>
            <w:r w:rsidR="00CD0AF8">
              <w:rPr>
                <w:noProof/>
                <w:webHidden/>
              </w:rPr>
              <w:fldChar w:fldCharType="end"/>
            </w:r>
          </w:hyperlink>
        </w:p>
        <w:p w14:paraId="6F242CD9" w14:textId="41BDC733"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69" w:history="1">
            <w:r w:rsidR="00CD0AF8" w:rsidRPr="009C0A3A">
              <w:rPr>
                <w:rStyle w:val="Hyperlink"/>
                <w:noProof/>
              </w:rPr>
              <w:t>4.</w:t>
            </w:r>
            <w:r w:rsidR="00CD0AF8">
              <w:rPr>
                <w:rFonts w:eastAsiaTheme="minorEastAsia" w:cstheme="minorBidi"/>
                <w:b w:val="0"/>
                <w:bCs w:val="0"/>
                <w:noProof/>
                <w:sz w:val="22"/>
                <w:szCs w:val="22"/>
              </w:rPr>
              <w:tab/>
            </w:r>
            <w:r w:rsidR="00CD0AF8" w:rsidRPr="009C0A3A">
              <w:rPr>
                <w:rStyle w:val="Hyperlink"/>
                <w:noProof/>
              </w:rPr>
              <w:t>Housing Requirements</w:t>
            </w:r>
            <w:r w:rsidR="00CD0AF8">
              <w:rPr>
                <w:noProof/>
                <w:webHidden/>
              </w:rPr>
              <w:tab/>
            </w:r>
            <w:r w:rsidR="00CD0AF8">
              <w:rPr>
                <w:noProof/>
                <w:webHidden/>
              </w:rPr>
              <w:fldChar w:fldCharType="begin"/>
            </w:r>
            <w:r w:rsidR="00CD0AF8">
              <w:rPr>
                <w:noProof/>
                <w:webHidden/>
              </w:rPr>
              <w:instrText xml:space="preserve"> PAGEREF _Toc124255069 \h </w:instrText>
            </w:r>
            <w:r w:rsidR="00CD0AF8">
              <w:rPr>
                <w:noProof/>
                <w:webHidden/>
              </w:rPr>
            </w:r>
            <w:r w:rsidR="00CD0AF8">
              <w:rPr>
                <w:noProof/>
                <w:webHidden/>
              </w:rPr>
              <w:fldChar w:fldCharType="separate"/>
            </w:r>
            <w:r w:rsidR="00CD0AF8">
              <w:rPr>
                <w:noProof/>
                <w:webHidden/>
              </w:rPr>
              <w:t>105</w:t>
            </w:r>
            <w:r w:rsidR="00CD0AF8">
              <w:rPr>
                <w:noProof/>
                <w:webHidden/>
              </w:rPr>
              <w:fldChar w:fldCharType="end"/>
            </w:r>
          </w:hyperlink>
        </w:p>
        <w:p w14:paraId="59D96F5A" w14:textId="1AE507E2"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70" w:history="1">
            <w:r w:rsidR="00CD0AF8" w:rsidRPr="009C0A3A">
              <w:rPr>
                <w:rStyle w:val="Hyperlink"/>
                <w:noProof/>
              </w:rPr>
              <w:t>5.</w:t>
            </w:r>
            <w:r w:rsidR="00CD0AF8">
              <w:rPr>
                <w:rFonts w:eastAsiaTheme="minorEastAsia" w:cstheme="minorBidi"/>
                <w:b w:val="0"/>
                <w:bCs w:val="0"/>
                <w:noProof/>
                <w:sz w:val="22"/>
                <w:szCs w:val="22"/>
              </w:rPr>
              <w:tab/>
            </w:r>
            <w:r w:rsidR="00CD0AF8" w:rsidRPr="009C0A3A">
              <w:rPr>
                <w:rStyle w:val="Hyperlink"/>
                <w:noProof/>
              </w:rPr>
              <w:t>Services Requirements</w:t>
            </w:r>
            <w:r w:rsidR="00CD0AF8">
              <w:rPr>
                <w:noProof/>
                <w:webHidden/>
              </w:rPr>
              <w:tab/>
            </w:r>
            <w:r w:rsidR="00CD0AF8">
              <w:rPr>
                <w:noProof/>
                <w:webHidden/>
              </w:rPr>
              <w:fldChar w:fldCharType="begin"/>
            </w:r>
            <w:r w:rsidR="00CD0AF8">
              <w:rPr>
                <w:noProof/>
                <w:webHidden/>
              </w:rPr>
              <w:instrText xml:space="preserve"> PAGEREF _Toc124255070 \h </w:instrText>
            </w:r>
            <w:r w:rsidR="00CD0AF8">
              <w:rPr>
                <w:noProof/>
                <w:webHidden/>
              </w:rPr>
            </w:r>
            <w:r w:rsidR="00CD0AF8">
              <w:rPr>
                <w:noProof/>
                <w:webHidden/>
              </w:rPr>
              <w:fldChar w:fldCharType="separate"/>
            </w:r>
            <w:r w:rsidR="00CD0AF8">
              <w:rPr>
                <w:noProof/>
                <w:webHidden/>
              </w:rPr>
              <w:t>108</w:t>
            </w:r>
            <w:r w:rsidR="00CD0AF8">
              <w:rPr>
                <w:noProof/>
                <w:webHidden/>
              </w:rPr>
              <w:fldChar w:fldCharType="end"/>
            </w:r>
          </w:hyperlink>
        </w:p>
        <w:p w14:paraId="0591A68B" w14:textId="0848CF0C"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71" w:history="1">
            <w:r w:rsidR="00CD0AF8" w:rsidRPr="009C0A3A">
              <w:rPr>
                <w:rStyle w:val="Hyperlink"/>
                <w:noProof/>
              </w:rPr>
              <w:t>6.</w:t>
            </w:r>
            <w:r w:rsidR="00CD0AF8">
              <w:rPr>
                <w:rFonts w:eastAsiaTheme="minorEastAsia" w:cstheme="minorBidi"/>
                <w:b w:val="0"/>
                <w:bCs w:val="0"/>
                <w:noProof/>
                <w:sz w:val="22"/>
                <w:szCs w:val="22"/>
              </w:rPr>
              <w:tab/>
            </w:r>
            <w:r w:rsidR="00CD0AF8" w:rsidRPr="009C0A3A">
              <w:rPr>
                <w:rStyle w:val="Hyperlink"/>
                <w:noProof/>
              </w:rPr>
              <w:t>Duration of Assistance</w:t>
            </w:r>
            <w:r w:rsidR="00CD0AF8">
              <w:rPr>
                <w:noProof/>
                <w:webHidden/>
              </w:rPr>
              <w:tab/>
            </w:r>
            <w:r w:rsidR="00CD0AF8">
              <w:rPr>
                <w:noProof/>
                <w:webHidden/>
              </w:rPr>
              <w:fldChar w:fldCharType="begin"/>
            </w:r>
            <w:r w:rsidR="00CD0AF8">
              <w:rPr>
                <w:noProof/>
                <w:webHidden/>
              </w:rPr>
              <w:instrText xml:space="preserve"> PAGEREF _Toc124255071 \h </w:instrText>
            </w:r>
            <w:r w:rsidR="00CD0AF8">
              <w:rPr>
                <w:noProof/>
                <w:webHidden/>
              </w:rPr>
            </w:r>
            <w:r w:rsidR="00CD0AF8">
              <w:rPr>
                <w:noProof/>
                <w:webHidden/>
              </w:rPr>
              <w:fldChar w:fldCharType="separate"/>
            </w:r>
            <w:r w:rsidR="00CD0AF8">
              <w:rPr>
                <w:noProof/>
                <w:webHidden/>
              </w:rPr>
              <w:t>110</w:t>
            </w:r>
            <w:r w:rsidR="00CD0AF8">
              <w:rPr>
                <w:noProof/>
                <w:webHidden/>
              </w:rPr>
              <w:fldChar w:fldCharType="end"/>
            </w:r>
          </w:hyperlink>
        </w:p>
        <w:p w14:paraId="3FAEC39D" w14:textId="02D665C9" w:rsidR="00CD0AF8" w:rsidRDefault="00000000">
          <w:pPr>
            <w:pStyle w:val="TOC1"/>
            <w:tabs>
              <w:tab w:val="right" w:leader="dot" w:pos="12950"/>
            </w:tabs>
            <w:rPr>
              <w:rFonts w:eastAsiaTheme="minorEastAsia" w:cstheme="minorBidi"/>
              <w:b w:val="0"/>
              <w:bCs w:val="0"/>
              <w:i w:val="0"/>
              <w:iCs w:val="0"/>
              <w:noProof/>
              <w:sz w:val="22"/>
              <w:szCs w:val="22"/>
            </w:rPr>
          </w:pPr>
          <w:hyperlink w:anchor="_Toc124255072" w:history="1">
            <w:r w:rsidR="00CD0AF8" w:rsidRPr="009C0A3A">
              <w:rPr>
                <w:rStyle w:val="Hyperlink"/>
                <w:noProof/>
              </w:rPr>
              <w:t>Standards for Street Outreach</w:t>
            </w:r>
            <w:r w:rsidR="00CD0AF8">
              <w:rPr>
                <w:noProof/>
                <w:webHidden/>
              </w:rPr>
              <w:tab/>
            </w:r>
            <w:r w:rsidR="00CD0AF8">
              <w:rPr>
                <w:noProof/>
                <w:webHidden/>
              </w:rPr>
              <w:fldChar w:fldCharType="begin"/>
            </w:r>
            <w:r w:rsidR="00CD0AF8">
              <w:rPr>
                <w:noProof/>
                <w:webHidden/>
              </w:rPr>
              <w:instrText xml:space="preserve"> PAGEREF _Toc124255072 \h </w:instrText>
            </w:r>
            <w:r w:rsidR="00CD0AF8">
              <w:rPr>
                <w:noProof/>
                <w:webHidden/>
              </w:rPr>
            </w:r>
            <w:r w:rsidR="00CD0AF8">
              <w:rPr>
                <w:noProof/>
                <w:webHidden/>
              </w:rPr>
              <w:fldChar w:fldCharType="separate"/>
            </w:r>
            <w:r w:rsidR="00CD0AF8">
              <w:rPr>
                <w:noProof/>
                <w:webHidden/>
              </w:rPr>
              <w:t>111</w:t>
            </w:r>
            <w:r w:rsidR="00CD0AF8">
              <w:rPr>
                <w:noProof/>
                <w:webHidden/>
              </w:rPr>
              <w:fldChar w:fldCharType="end"/>
            </w:r>
          </w:hyperlink>
        </w:p>
        <w:p w14:paraId="2E9342D1" w14:textId="515DDC59"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73" w:history="1">
            <w:r w:rsidR="00CD0AF8" w:rsidRPr="009C0A3A">
              <w:rPr>
                <w:rStyle w:val="Hyperlink"/>
                <w:noProof/>
              </w:rPr>
              <w:t>1.</w:t>
            </w:r>
            <w:r w:rsidR="00CD0AF8">
              <w:rPr>
                <w:rFonts w:eastAsiaTheme="minorEastAsia" w:cstheme="minorBidi"/>
                <w:b w:val="0"/>
                <w:bCs w:val="0"/>
                <w:noProof/>
                <w:sz w:val="22"/>
                <w:szCs w:val="22"/>
              </w:rPr>
              <w:tab/>
            </w:r>
            <w:r w:rsidR="00CD0AF8" w:rsidRPr="009C0A3A">
              <w:rPr>
                <w:rStyle w:val="Hyperlink"/>
                <w:noProof/>
              </w:rPr>
              <w:t>Introduction</w:t>
            </w:r>
            <w:r w:rsidR="00CD0AF8">
              <w:rPr>
                <w:noProof/>
                <w:webHidden/>
              </w:rPr>
              <w:tab/>
            </w:r>
            <w:r w:rsidR="00CD0AF8">
              <w:rPr>
                <w:noProof/>
                <w:webHidden/>
              </w:rPr>
              <w:fldChar w:fldCharType="begin"/>
            </w:r>
            <w:r w:rsidR="00CD0AF8">
              <w:rPr>
                <w:noProof/>
                <w:webHidden/>
              </w:rPr>
              <w:instrText xml:space="preserve"> PAGEREF _Toc124255073 \h </w:instrText>
            </w:r>
            <w:r w:rsidR="00CD0AF8">
              <w:rPr>
                <w:noProof/>
                <w:webHidden/>
              </w:rPr>
            </w:r>
            <w:r w:rsidR="00CD0AF8">
              <w:rPr>
                <w:noProof/>
                <w:webHidden/>
              </w:rPr>
              <w:fldChar w:fldCharType="separate"/>
            </w:r>
            <w:r w:rsidR="00CD0AF8">
              <w:rPr>
                <w:noProof/>
                <w:webHidden/>
              </w:rPr>
              <w:t>111</w:t>
            </w:r>
            <w:r w:rsidR="00CD0AF8">
              <w:rPr>
                <w:noProof/>
                <w:webHidden/>
              </w:rPr>
              <w:fldChar w:fldCharType="end"/>
            </w:r>
          </w:hyperlink>
        </w:p>
        <w:p w14:paraId="62770B2A" w14:textId="4D5D676F"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74" w:history="1">
            <w:r w:rsidR="00CD0AF8" w:rsidRPr="009C0A3A">
              <w:rPr>
                <w:rStyle w:val="Hyperlink"/>
                <w:noProof/>
              </w:rPr>
              <w:t>2.</w:t>
            </w:r>
            <w:r w:rsidR="00CD0AF8">
              <w:rPr>
                <w:rFonts w:eastAsiaTheme="minorEastAsia" w:cstheme="minorBidi"/>
                <w:b w:val="0"/>
                <w:bCs w:val="0"/>
                <w:noProof/>
                <w:sz w:val="22"/>
                <w:szCs w:val="22"/>
              </w:rPr>
              <w:tab/>
            </w:r>
            <w:r w:rsidR="00CD0AF8" w:rsidRPr="009C0A3A">
              <w:rPr>
                <w:rStyle w:val="Hyperlink"/>
                <w:noProof/>
              </w:rPr>
              <w:t>Eligibility</w:t>
            </w:r>
            <w:r w:rsidR="00CD0AF8">
              <w:rPr>
                <w:noProof/>
                <w:webHidden/>
              </w:rPr>
              <w:tab/>
            </w:r>
            <w:r w:rsidR="00CD0AF8">
              <w:rPr>
                <w:noProof/>
                <w:webHidden/>
              </w:rPr>
              <w:fldChar w:fldCharType="begin"/>
            </w:r>
            <w:r w:rsidR="00CD0AF8">
              <w:rPr>
                <w:noProof/>
                <w:webHidden/>
              </w:rPr>
              <w:instrText xml:space="preserve"> PAGEREF _Toc124255074 \h </w:instrText>
            </w:r>
            <w:r w:rsidR="00CD0AF8">
              <w:rPr>
                <w:noProof/>
                <w:webHidden/>
              </w:rPr>
            </w:r>
            <w:r w:rsidR="00CD0AF8">
              <w:rPr>
                <w:noProof/>
                <w:webHidden/>
              </w:rPr>
              <w:fldChar w:fldCharType="separate"/>
            </w:r>
            <w:r w:rsidR="00CD0AF8">
              <w:rPr>
                <w:noProof/>
                <w:webHidden/>
              </w:rPr>
              <w:t>111</w:t>
            </w:r>
            <w:r w:rsidR="00CD0AF8">
              <w:rPr>
                <w:noProof/>
                <w:webHidden/>
              </w:rPr>
              <w:fldChar w:fldCharType="end"/>
            </w:r>
          </w:hyperlink>
        </w:p>
        <w:p w14:paraId="0BF42FCA" w14:textId="0CD4F9E3"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75" w:history="1">
            <w:r w:rsidR="00CD0AF8" w:rsidRPr="009C0A3A">
              <w:rPr>
                <w:rStyle w:val="Hyperlink"/>
                <w:noProof/>
              </w:rPr>
              <w:t>3.</w:t>
            </w:r>
            <w:r w:rsidR="00CD0AF8">
              <w:rPr>
                <w:rFonts w:eastAsiaTheme="minorEastAsia" w:cstheme="minorBidi"/>
                <w:b w:val="0"/>
                <w:bCs w:val="0"/>
                <w:noProof/>
                <w:sz w:val="22"/>
                <w:szCs w:val="22"/>
              </w:rPr>
              <w:tab/>
            </w:r>
            <w:r w:rsidR="00CD0AF8" w:rsidRPr="009C0A3A">
              <w:rPr>
                <w:rStyle w:val="Hyperlink"/>
                <w:noProof/>
              </w:rPr>
              <w:t>Prioritization</w:t>
            </w:r>
            <w:r w:rsidR="00CD0AF8">
              <w:rPr>
                <w:noProof/>
                <w:webHidden/>
              </w:rPr>
              <w:tab/>
            </w:r>
            <w:r w:rsidR="00CD0AF8">
              <w:rPr>
                <w:noProof/>
                <w:webHidden/>
              </w:rPr>
              <w:fldChar w:fldCharType="begin"/>
            </w:r>
            <w:r w:rsidR="00CD0AF8">
              <w:rPr>
                <w:noProof/>
                <w:webHidden/>
              </w:rPr>
              <w:instrText xml:space="preserve"> PAGEREF _Toc124255075 \h </w:instrText>
            </w:r>
            <w:r w:rsidR="00CD0AF8">
              <w:rPr>
                <w:noProof/>
                <w:webHidden/>
              </w:rPr>
            </w:r>
            <w:r w:rsidR="00CD0AF8">
              <w:rPr>
                <w:noProof/>
                <w:webHidden/>
              </w:rPr>
              <w:fldChar w:fldCharType="separate"/>
            </w:r>
            <w:r w:rsidR="00CD0AF8">
              <w:rPr>
                <w:noProof/>
                <w:webHidden/>
              </w:rPr>
              <w:t>111</w:t>
            </w:r>
            <w:r w:rsidR="00CD0AF8">
              <w:rPr>
                <w:noProof/>
                <w:webHidden/>
              </w:rPr>
              <w:fldChar w:fldCharType="end"/>
            </w:r>
          </w:hyperlink>
        </w:p>
        <w:p w14:paraId="31DA1095" w14:textId="52F33D37"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76" w:history="1">
            <w:r w:rsidR="00CD0AF8" w:rsidRPr="009C0A3A">
              <w:rPr>
                <w:rStyle w:val="Hyperlink"/>
                <w:noProof/>
              </w:rPr>
              <w:t>4.</w:t>
            </w:r>
            <w:r w:rsidR="00CD0AF8">
              <w:rPr>
                <w:rFonts w:eastAsiaTheme="minorEastAsia" w:cstheme="minorBidi"/>
                <w:b w:val="0"/>
                <w:bCs w:val="0"/>
                <w:noProof/>
                <w:sz w:val="22"/>
                <w:szCs w:val="22"/>
              </w:rPr>
              <w:tab/>
            </w:r>
            <w:r w:rsidR="00CD0AF8" w:rsidRPr="009C0A3A">
              <w:rPr>
                <w:rStyle w:val="Hyperlink"/>
                <w:noProof/>
              </w:rPr>
              <w:t>Outreach Requirements</w:t>
            </w:r>
            <w:r w:rsidR="00CD0AF8">
              <w:rPr>
                <w:noProof/>
                <w:webHidden/>
              </w:rPr>
              <w:tab/>
            </w:r>
            <w:r w:rsidR="00CD0AF8">
              <w:rPr>
                <w:noProof/>
                <w:webHidden/>
              </w:rPr>
              <w:fldChar w:fldCharType="begin"/>
            </w:r>
            <w:r w:rsidR="00CD0AF8">
              <w:rPr>
                <w:noProof/>
                <w:webHidden/>
              </w:rPr>
              <w:instrText xml:space="preserve"> PAGEREF _Toc124255076 \h </w:instrText>
            </w:r>
            <w:r w:rsidR="00CD0AF8">
              <w:rPr>
                <w:noProof/>
                <w:webHidden/>
              </w:rPr>
            </w:r>
            <w:r w:rsidR="00CD0AF8">
              <w:rPr>
                <w:noProof/>
                <w:webHidden/>
              </w:rPr>
              <w:fldChar w:fldCharType="separate"/>
            </w:r>
            <w:r w:rsidR="00CD0AF8">
              <w:rPr>
                <w:noProof/>
                <w:webHidden/>
              </w:rPr>
              <w:t>111</w:t>
            </w:r>
            <w:r w:rsidR="00CD0AF8">
              <w:rPr>
                <w:noProof/>
                <w:webHidden/>
              </w:rPr>
              <w:fldChar w:fldCharType="end"/>
            </w:r>
          </w:hyperlink>
        </w:p>
        <w:p w14:paraId="15BAE073" w14:textId="56EAA98E"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77" w:history="1">
            <w:r w:rsidR="00CD0AF8" w:rsidRPr="009C0A3A">
              <w:rPr>
                <w:rStyle w:val="Hyperlink"/>
                <w:noProof/>
              </w:rPr>
              <w:t>5.</w:t>
            </w:r>
            <w:r w:rsidR="00CD0AF8">
              <w:rPr>
                <w:rFonts w:eastAsiaTheme="minorEastAsia" w:cstheme="minorBidi"/>
                <w:b w:val="0"/>
                <w:bCs w:val="0"/>
                <w:noProof/>
                <w:sz w:val="22"/>
                <w:szCs w:val="22"/>
              </w:rPr>
              <w:tab/>
            </w:r>
            <w:r w:rsidR="00CD0AF8" w:rsidRPr="009C0A3A">
              <w:rPr>
                <w:rStyle w:val="Hyperlink"/>
                <w:noProof/>
              </w:rPr>
              <w:t>Service Requirements</w:t>
            </w:r>
            <w:r w:rsidR="00CD0AF8">
              <w:rPr>
                <w:noProof/>
                <w:webHidden/>
              </w:rPr>
              <w:tab/>
            </w:r>
            <w:r w:rsidR="00CD0AF8">
              <w:rPr>
                <w:noProof/>
                <w:webHidden/>
              </w:rPr>
              <w:fldChar w:fldCharType="begin"/>
            </w:r>
            <w:r w:rsidR="00CD0AF8">
              <w:rPr>
                <w:noProof/>
                <w:webHidden/>
              </w:rPr>
              <w:instrText xml:space="preserve"> PAGEREF _Toc124255077 \h </w:instrText>
            </w:r>
            <w:r w:rsidR="00CD0AF8">
              <w:rPr>
                <w:noProof/>
                <w:webHidden/>
              </w:rPr>
            </w:r>
            <w:r w:rsidR="00CD0AF8">
              <w:rPr>
                <w:noProof/>
                <w:webHidden/>
              </w:rPr>
              <w:fldChar w:fldCharType="separate"/>
            </w:r>
            <w:r w:rsidR="00CD0AF8">
              <w:rPr>
                <w:noProof/>
                <w:webHidden/>
              </w:rPr>
              <w:t>111</w:t>
            </w:r>
            <w:r w:rsidR="00CD0AF8">
              <w:rPr>
                <w:noProof/>
                <w:webHidden/>
              </w:rPr>
              <w:fldChar w:fldCharType="end"/>
            </w:r>
          </w:hyperlink>
        </w:p>
        <w:p w14:paraId="3D4157B8" w14:textId="75A98CB7"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78" w:history="1">
            <w:r w:rsidR="00CD0AF8" w:rsidRPr="009C0A3A">
              <w:rPr>
                <w:rStyle w:val="Hyperlink"/>
                <w:noProof/>
              </w:rPr>
              <w:t>6.</w:t>
            </w:r>
            <w:r w:rsidR="00CD0AF8">
              <w:rPr>
                <w:rFonts w:eastAsiaTheme="minorEastAsia" w:cstheme="minorBidi"/>
                <w:b w:val="0"/>
                <w:bCs w:val="0"/>
                <w:noProof/>
                <w:sz w:val="22"/>
                <w:szCs w:val="22"/>
              </w:rPr>
              <w:tab/>
            </w:r>
            <w:r w:rsidR="00CD0AF8" w:rsidRPr="009C0A3A">
              <w:rPr>
                <w:rStyle w:val="Hyperlink"/>
                <w:noProof/>
              </w:rPr>
              <w:t>Duration of Assistance</w:t>
            </w:r>
            <w:r w:rsidR="00CD0AF8">
              <w:rPr>
                <w:noProof/>
                <w:webHidden/>
              </w:rPr>
              <w:tab/>
            </w:r>
            <w:r w:rsidR="00CD0AF8">
              <w:rPr>
                <w:noProof/>
                <w:webHidden/>
              </w:rPr>
              <w:fldChar w:fldCharType="begin"/>
            </w:r>
            <w:r w:rsidR="00CD0AF8">
              <w:rPr>
                <w:noProof/>
                <w:webHidden/>
              </w:rPr>
              <w:instrText xml:space="preserve"> PAGEREF _Toc124255078 \h </w:instrText>
            </w:r>
            <w:r w:rsidR="00CD0AF8">
              <w:rPr>
                <w:noProof/>
                <w:webHidden/>
              </w:rPr>
            </w:r>
            <w:r w:rsidR="00CD0AF8">
              <w:rPr>
                <w:noProof/>
                <w:webHidden/>
              </w:rPr>
              <w:fldChar w:fldCharType="separate"/>
            </w:r>
            <w:r w:rsidR="00CD0AF8">
              <w:rPr>
                <w:noProof/>
                <w:webHidden/>
              </w:rPr>
              <w:t>112</w:t>
            </w:r>
            <w:r w:rsidR="00CD0AF8">
              <w:rPr>
                <w:noProof/>
                <w:webHidden/>
              </w:rPr>
              <w:fldChar w:fldCharType="end"/>
            </w:r>
          </w:hyperlink>
        </w:p>
        <w:p w14:paraId="0ECF13AD" w14:textId="6B09447A"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79" w:history="1">
            <w:r w:rsidR="00CD0AF8" w:rsidRPr="009C0A3A">
              <w:rPr>
                <w:rStyle w:val="Hyperlink"/>
                <w:noProof/>
              </w:rPr>
              <w:t>7.</w:t>
            </w:r>
            <w:r w:rsidR="00CD0AF8">
              <w:rPr>
                <w:rFonts w:eastAsiaTheme="minorEastAsia" w:cstheme="minorBidi"/>
                <w:b w:val="0"/>
                <w:bCs w:val="0"/>
                <w:noProof/>
                <w:sz w:val="22"/>
                <w:szCs w:val="22"/>
              </w:rPr>
              <w:tab/>
            </w:r>
            <w:r w:rsidR="00CD0AF8" w:rsidRPr="009C0A3A">
              <w:rPr>
                <w:rStyle w:val="Hyperlink"/>
                <w:noProof/>
              </w:rPr>
              <w:t>ESG-CV Standards for Street Outreach</w:t>
            </w:r>
            <w:r w:rsidR="00CD0AF8">
              <w:rPr>
                <w:noProof/>
                <w:webHidden/>
              </w:rPr>
              <w:tab/>
            </w:r>
            <w:r w:rsidR="00CD0AF8">
              <w:rPr>
                <w:noProof/>
                <w:webHidden/>
              </w:rPr>
              <w:fldChar w:fldCharType="begin"/>
            </w:r>
            <w:r w:rsidR="00CD0AF8">
              <w:rPr>
                <w:noProof/>
                <w:webHidden/>
              </w:rPr>
              <w:instrText xml:space="preserve"> PAGEREF _Toc124255079 \h </w:instrText>
            </w:r>
            <w:r w:rsidR="00CD0AF8">
              <w:rPr>
                <w:noProof/>
                <w:webHidden/>
              </w:rPr>
            </w:r>
            <w:r w:rsidR="00CD0AF8">
              <w:rPr>
                <w:noProof/>
                <w:webHidden/>
              </w:rPr>
              <w:fldChar w:fldCharType="separate"/>
            </w:r>
            <w:r w:rsidR="00CD0AF8">
              <w:rPr>
                <w:noProof/>
                <w:webHidden/>
              </w:rPr>
              <w:t>112</w:t>
            </w:r>
            <w:r w:rsidR="00CD0AF8">
              <w:rPr>
                <w:noProof/>
                <w:webHidden/>
              </w:rPr>
              <w:fldChar w:fldCharType="end"/>
            </w:r>
          </w:hyperlink>
        </w:p>
        <w:p w14:paraId="3932818E" w14:textId="3B0496B3" w:rsidR="00CD0AF8" w:rsidRDefault="00000000">
          <w:pPr>
            <w:pStyle w:val="TOC1"/>
            <w:tabs>
              <w:tab w:val="right" w:leader="dot" w:pos="12950"/>
            </w:tabs>
            <w:rPr>
              <w:rFonts w:eastAsiaTheme="minorEastAsia" w:cstheme="minorBidi"/>
              <w:b w:val="0"/>
              <w:bCs w:val="0"/>
              <w:i w:val="0"/>
              <w:iCs w:val="0"/>
              <w:noProof/>
              <w:sz w:val="22"/>
              <w:szCs w:val="22"/>
            </w:rPr>
          </w:pPr>
          <w:hyperlink w:anchor="_Toc124255080" w:history="1">
            <w:r w:rsidR="00CD0AF8" w:rsidRPr="009C0A3A">
              <w:rPr>
                <w:rStyle w:val="Hyperlink"/>
                <w:noProof/>
              </w:rPr>
              <w:t>Standards for Transitional Housing</w:t>
            </w:r>
            <w:r w:rsidR="00CD0AF8">
              <w:rPr>
                <w:noProof/>
                <w:webHidden/>
              </w:rPr>
              <w:tab/>
            </w:r>
            <w:r w:rsidR="00CD0AF8">
              <w:rPr>
                <w:noProof/>
                <w:webHidden/>
              </w:rPr>
              <w:fldChar w:fldCharType="begin"/>
            </w:r>
            <w:r w:rsidR="00CD0AF8">
              <w:rPr>
                <w:noProof/>
                <w:webHidden/>
              </w:rPr>
              <w:instrText xml:space="preserve"> PAGEREF _Toc124255080 \h </w:instrText>
            </w:r>
            <w:r w:rsidR="00CD0AF8">
              <w:rPr>
                <w:noProof/>
                <w:webHidden/>
              </w:rPr>
            </w:r>
            <w:r w:rsidR="00CD0AF8">
              <w:rPr>
                <w:noProof/>
                <w:webHidden/>
              </w:rPr>
              <w:fldChar w:fldCharType="separate"/>
            </w:r>
            <w:r w:rsidR="00CD0AF8">
              <w:rPr>
                <w:noProof/>
                <w:webHidden/>
              </w:rPr>
              <w:t>116</w:t>
            </w:r>
            <w:r w:rsidR="00CD0AF8">
              <w:rPr>
                <w:noProof/>
                <w:webHidden/>
              </w:rPr>
              <w:fldChar w:fldCharType="end"/>
            </w:r>
          </w:hyperlink>
        </w:p>
        <w:p w14:paraId="61A0F6C8" w14:textId="465A9FE3"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81" w:history="1">
            <w:r w:rsidR="00CD0AF8" w:rsidRPr="009C0A3A">
              <w:rPr>
                <w:rStyle w:val="Hyperlink"/>
                <w:noProof/>
              </w:rPr>
              <w:t>1.</w:t>
            </w:r>
            <w:r w:rsidR="00CD0AF8">
              <w:rPr>
                <w:rFonts w:eastAsiaTheme="minorEastAsia" w:cstheme="minorBidi"/>
                <w:b w:val="0"/>
                <w:bCs w:val="0"/>
                <w:noProof/>
                <w:sz w:val="22"/>
                <w:szCs w:val="22"/>
              </w:rPr>
              <w:tab/>
            </w:r>
            <w:r w:rsidR="00CD0AF8" w:rsidRPr="009C0A3A">
              <w:rPr>
                <w:rStyle w:val="Hyperlink"/>
                <w:noProof/>
              </w:rPr>
              <w:t>Introduction</w:t>
            </w:r>
            <w:r w:rsidR="00CD0AF8">
              <w:rPr>
                <w:noProof/>
                <w:webHidden/>
              </w:rPr>
              <w:tab/>
            </w:r>
            <w:r w:rsidR="00CD0AF8">
              <w:rPr>
                <w:noProof/>
                <w:webHidden/>
              </w:rPr>
              <w:fldChar w:fldCharType="begin"/>
            </w:r>
            <w:r w:rsidR="00CD0AF8">
              <w:rPr>
                <w:noProof/>
                <w:webHidden/>
              </w:rPr>
              <w:instrText xml:space="preserve"> PAGEREF _Toc124255081 \h </w:instrText>
            </w:r>
            <w:r w:rsidR="00CD0AF8">
              <w:rPr>
                <w:noProof/>
                <w:webHidden/>
              </w:rPr>
            </w:r>
            <w:r w:rsidR="00CD0AF8">
              <w:rPr>
                <w:noProof/>
                <w:webHidden/>
              </w:rPr>
              <w:fldChar w:fldCharType="separate"/>
            </w:r>
            <w:r w:rsidR="00CD0AF8">
              <w:rPr>
                <w:noProof/>
                <w:webHidden/>
              </w:rPr>
              <w:t>116</w:t>
            </w:r>
            <w:r w:rsidR="00CD0AF8">
              <w:rPr>
                <w:noProof/>
                <w:webHidden/>
              </w:rPr>
              <w:fldChar w:fldCharType="end"/>
            </w:r>
          </w:hyperlink>
        </w:p>
        <w:p w14:paraId="77283A75" w14:textId="7040058F"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82" w:history="1">
            <w:r w:rsidR="00CD0AF8" w:rsidRPr="009C0A3A">
              <w:rPr>
                <w:rStyle w:val="Hyperlink"/>
                <w:noProof/>
              </w:rPr>
              <w:t>2.</w:t>
            </w:r>
            <w:r w:rsidR="00CD0AF8">
              <w:rPr>
                <w:rFonts w:eastAsiaTheme="minorEastAsia" w:cstheme="minorBidi"/>
                <w:b w:val="0"/>
                <w:bCs w:val="0"/>
                <w:noProof/>
                <w:sz w:val="22"/>
                <w:szCs w:val="22"/>
              </w:rPr>
              <w:tab/>
            </w:r>
            <w:r w:rsidR="00CD0AF8" w:rsidRPr="009C0A3A">
              <w:rPr>
                <w:rStyle w:val="Hyperlink"/>
                <w:noProof/>
              </w:rPr>
              <w:t>Eligibility</w:t>
            </w:r>
            <w:r w:rsidR="00CD0AF8">
              <w:rPr>
                <w:noProof/>
                <w:webHidden/>
              </w:rPr>
              <w:tab/>
            </w:r>
            <w:r w:rsidR="00CD0AF8">
              <w:rPr>
                <w:noProof/>
                <w:webHidden/>
              </w:rPr>
              <w:fldChar w:fldCharType="begin"/>
            </w:r>
            <w:r w:rsidR="00CD0AF8">
              <w:rPr>
                <w:noProof/>
                <w:webHidden/>
              </w:rPr>
              <w:instrText xml:space="preserve"> PAGEREF _Toc124255082 \h </w:instrText>
            </w:r>
            <w:r w:rsidR="00CD0AF8">
              <w:rPr>
                <w:noProof/>
                <w:webHidden/>
              </w:rPr>
            </w:r>
            <w:r w:rsidR="00CD0AF8">
              <w:rPr>
                <w:noProof/>
                <w:webHidden/>
              </w:rPr>
              <w:fldChar w:fldCharType="separate"/>
            </w:r>
            <w:r w:rsidR="00CD0AF8">
              <w:rPr>
                <w:noProof/>
                <w:webHidden/>
              </w:rPr>
              <w:t>116</w:t>
            </w:r>
            <w:r w:rsidR="00CD0AF8">
              <w:rPr>
                <w:noProof/>
                <w:webHidden/>
              </w:rPr>
              <w:fldChar w:fldCharType="end"/>
            </w:r>
          </w:hyperlink>
        </w:p>
        <w:p w14:paraId="5D57989B" w14:textId="39B86EA4"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83" w:history="1">
            <w:r w:rsidR="00CD0AF8" w:rsidRPr="009C0A3A">
              <w:rPr>
                <w:rStyle w:val="Hyperlink"/>
                <w:noProof/>
              </w:rPr>
              <w:t>3.</w:t>
            </w:r>
            <w:r w:rsidR="00CD0AF8">
              <w:rPr>
                <w:rFonts w:eastAsiaTheme="minorEastAsia" w:cstheme="minorBidi"/>
                <w:b w:val="0"/>
                <w:bCs w:val="0"/>
                <w:noProof/>
                <w:sz w:val="22"/>
                <w:szCs w:val="22"/>
              </w:rPr>
              <w:tab/>
            </w:r>
            <w:r w:rsidR="00CD0AF8" w:rsidRPr="009C0A3A">
              <w:rPr>
                <w:rStyle w:val="Hyperlink"/>
                <w:noProof/>
              </w:rPr>
              <w:t>Prioritization</w:t>
            </w:r>
            <w:r w:rsidR="00CD0AF8">
              <w:rPr>
                <w:noProof/>
                <w:webHidden/>
              </w:rPr>
              <w:tab/>
            </w:r>
            <w:r w:rsidR="00CD0AF8">
              <w:rPr>
                <w:noProof/>
                <w:webHidden/>
              </w:rPr>
              <w:fldChar w:fldCharType="begin"/>
            </w:r>
            <w:r w:rsidR="00CD0AF8">
              <w:rPr>
                <w:noProof/>
                <w:webHidden/>
              </w:rPr>
              <w:instrText xml:space="preserve"> PAGEREF _Toc124255083 \h </w:instrText>
            </w:r>
            <w:r w:rsidR="00CD0AF8">
              <w:rPr>
                <w:noProof/>
                <w:webHidden/>
              </w:rPr>
            </w:r>
            <w:r w:rsidR="00CD0AF8">
              <w:rPr>
                <w:noProof/>
                <w:webHidden/>
              </w:rPr>
              <w:fldChar w:fldCharType="separate"/>
            </w:r>
            <w:r w:rsidR="00CD0AF8">
              <w:rPr>
                <w:noProof/>
                <w:webHidden/>
              </w:rPr>
              <w:t>116</w:t>
            </w:r>
            <w:r w:rsidR="00CD0AF8">
              <w:rPr>
                <w:noProof/>
                <w:webHidden/>
              </w:rPr>
              <w:fldChar w:fldCharType="end"/>
            </w:r>
          </w:hyperlink>
        </w:p>
        <w:p w14:paraId="04866720" w14:textId="064E3B89"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84" w:history="1">
            <w:r w:rsidR="00CD0AF8" w:rsidRPr="009C0A3A">
              <w:rPr>
                <w:rStyle w:val="Hyperlink"/>
                <w:noProof/>
              </w:rPr>
              <w:t>4.</w:t>
            </w:r>
            <w:r w:rsidR="00CD0AF8">
              <w:rPr>
                <w:rFonts w:eastAsiaTheme="minorEastAsia" w:cstheme="minorBidi"/>
                <w:b w:val="0"/>
                <w:bCs w:val="0"/>
                <w:noProof/>
                <w:sz w:val="22"/>
                <w:szCs w:val="22"/>
              </w:rPr>
              <w:tab/>
            </w:r>
            <w:r w:rsidR="00CD0AF8" w:rsidRPr="009C0A3A">
              <w:rPr>
                <w:rStyle w:val="Hyperlink"/>
                <w:noProof/>
              </w:rPr>
              <w:t>Housing Requirements</w:t>
            </w:r>
            <w:r w:rsidR="00CD0AF8">
              <w:rPr>
                <w:noProof/>
                <w:webHidden/>
              </w:rPr>
              <w:tab/>
            </w:r>
            <w:r w:rsidR="00CD0AF8">
              <w:rPr>
                <w:noProof/>
                <w:webHidden/>
              </w:rPr>
              <w:fldChar w:fldCharType="begin"/>
            </w:r>
            <w:r w:rsidR="00CD0AF8">
              <w:rPr>
                <w:noProof/>
                <w:webHidden/>
              </w:rPr>
              <w:instrText xml:space="preserve"> PAGEREF _Toc124255084 \h </w:instrText>
            </w:r>
            <w:r w:rsidR="00CD0AF8">
              <w:rPr>
                <w:noProof/>
                <w:webHidden/>
              </w:rPr>
            </w:r>
            <w:r w:rsidR="00CD0AF8">
              <w:rPr>
                <w:noProof/>
                <w:webHidden/>
              </w:rPr>
              <w:fldChar w:fldCharType="separate"/>
            </w:r>
            <w:r w:rsidR="00CD0AF8">
              <w:rPr>
                <w:noProof/>
                <w:webHidden/>
              </w:rPr>
              <w:t>116</w:t>
            </w:r>
            <w:r w:rsidR="00CD0AF8">
              <w:rPr>
                <w:noProof/>
                <w:webHidden/>
              </w:rPr>
              <w:fldChar w:fldCharType="end"/>
            </w:r>
          </w:hyperlink>
        </w:p>
        <w:p w14:paraId="332EF0EC" w14:textId="0ED11995"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85" w:history="1">
            <w:r w:rsidR="00CD0AF8" w:rsidRPr="009C0A3A">
              <w:rPr>
                <w:rStyle w:val="Hyperlink"/>
                <w:noProof/>
              </w:rPr>
              <w:t>5.</w:t>
            </w:r>
            <w:r w:rsidR="00CD0AF8">
              <w:rPr>
                <w:rFonts w:eastAsiaTheme="minorEastAsia" w:cstheme="minorBidi"/>
                <w:b w:val="0"/>
                <w:bCs w:val="0"/>
                <w:noProof/>
                <w:sz w:val="22"/>
                <w:szCs w:val="22"/>
              </w:rPr>
              <w:tab/>
            </w:r>
            <w:r w:rsidR="00CD0AF8" w:rsidRPr="009C0A3A">
              <w:rPr>
                <w:rStyle w:val="Hyperlink"/>
                <w:noProof/>
              </w:rPr>
              <w:t>Service Requirements</w:t>
            </w:r>
            <w:r w:rsidR="00CD0AF8">
              <w:rPr>
                <w:noProof/>
                <w:webHidden/>
              </w:rPr>
              <w:tab/>
            </w:r>
            <w:r w:rsidR="00CD0AF8">
              <w:rPr>
                <w:noProof/>
                <w:webHidden/>
              </w:rPr>
              <w:fldChar w:fldCharType="begin"/>
            </w:r>
            <w:r w:rsidR="00CD0AF8">
              <w:rPr>
                <w:noProof/>
                <w:webHidden/>
              </w:rPr>
              <w:instrText xml:space="preserve"> PAGEREF _Toc124255085 \h </w:instrText>
            </w:r>
            <w:r w:rsidR="00CD0AF8">
              <w:rPr>
                <w:noProof/>
                <w:webHidden/>
              </w:rPr>
            </w:r>
            <w:r w:rsidR="00CD0AF8">
              <w:rPr>
                <w:noProof/>
                <w:webHidden/>
              </w:rPr>
              <w:fldChar w:fldCharType="separate"/>
            </w:r>
            <w:r w:rsidR="00CD0AF8">
              <w:rPr>
                <w:noProof/>
                <w:webHidden/>
              </w:rPr>
              <w:t>118</w:t>
            </w:r>
            <w:r w:rsidR="00CD0AF8">
              <w:rPr>
                <w:noProof/>
                <w:webHidden/>
              </w:rPr>
              <w:fldChar w:fldCharType="end"/>
            </w:r>
          </w:hyperlink>
        </w:p>
        <w:p w14:paraId="2ADD4D5A" w14:textId="4DD5601F"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86" w:history="1">
            <w:r w:rsidR="00CD0AF8" w:rsidRPr="009C0A3A">
              <w:rPr>
                <w:rStyle w:val="Hyperlink"/>
                <w:noProof/>
              </w:rPr>
              <w:t>6.</w:t>
            </w:r>
            <w:r w:rsidR="00CD0AF8">
              <w:rPr>
                <w:rFonts w:eastAsiaTheme="minorEastAsia" w:cstheme="minorBidi"/>
                <w:b w:val="0"/>
                <w:bCs w:val="0"/>
                <w:noProof/>
                <w:sz w:val="22"/>
                <w:szCs w:val="22"/>
              </w:rPr>
              <w:tab/>
            </w:r>
            <w:r w:rsidR="00CD0AF8" w:rsidRPr="009C0A3A">
              <w:rPr>
                <w:rStyle w:val="Hyperlink"/>
                <w:noProof/>
              </w:rPr>
              <w:t>Duration of Assistance</w:t>
            </w:r>
            <w:r w:rsidR="00CD0AF8">
              <w:rPr>
                <w:noProof/>
                <w:webHidden/>
              </w:rPr>
              <w:tab/>
            </w:r>
            <w:r w:rsidR="00CD0AF8">
              <w:rPr>
                <w:noProof/>
                <w:webHidden/>
              </w:rPr>
              <w:fldChar w:fldCharType="begin"/>
            </w:r>
            <w:r w:rsidR="00CD0AF8">
              <w:rPr>
                <w:noProof/>
                <w:webHidden/>
              </w:rPr>
              <w:instrText xml:space="preserve"> PAGEREF _Toc124255086 \h </w:instrText>
            </w:r>
            <w:r w:rsidR="00CD0AF8">
              <w:rPr>
                <w:noProof/>
                <w:webHidden/>
              </w:rPr>
            </w:r>
            <w:r w:rsidR="00CD0AF8">
              <w:rPr>
                <w:noProof/>
                <w:webHidden/>
              </w:rPr>
              <w:fldChar w:fldCharType="separate"/>
            </w:r>
            <w:r w:rsidR="00CD0AF8">
              <w:rPr>
                <w:noProof/>
                <w:webHidden/>
              </w:rPr>
              <w:t>119</w:t>
            </w:r>
            <w:r w:rsidR="00CD0AF8">
              <w:rPr>
                <w:noProof/>
                <w:webHidden/>
              </w:rPr>
              <w:fldChar w:fldCharType="end"/>
            </w:r>
          </w:hyperlink>
        </w:p>
        <w:p w14:paraId="06ED3158" w14:textId="2675F5F8" w:rsidR="00CD0AF8" w:rsidRDefault="00000000">
          <w:pPr>
            <w:pStyle w:val="TOC1"/>
            <w:tabs>
              <w:tab w:val="right" w:leader="dot" w:pos="12950"/>
            </w:tabs>
            <w:rPr>
              <w:rFonts w:eastAsiaTheme="minorEastAsia" w:cstheme="minorBidi"/>
              <w:b w:val="0"/>
              <w:bCs w:val="0"/>
              <w:i w:val="0"/>
              <w:iCs w:val="0"/>
              <w:noProof/>
              <w:sz w:val="22"/>
              <w:szCs w:val="22"/>
            </w:rPr>
          </w:pPr>
          <w:hyperlink w:anchor="_Toc124255087" w:history="1">
            <w:r w:rsidR="00CD0AF8" w:rsidRPr="009C0A3A">
              <w:rPr>
                <w:rStyle w:val="Hyperlink"/>
                <w:noProof/>
              </w:rPr>
              <w:t>Guidelines for Homeless Emergency Aid Program (HEAP)</w:t>
            </w:r>
            <w:r w:rsidR="00CD0AF8">
              <w:rPr>
                <w:noProof/>
                <w:webHidden/>
              </w:rPr>
              <w:tab/>
            </w:r>
            <w:r w:rsidR="00CD0AF8">
              <w:rPr>
                <w:noProof/>
                <w:webHidden/>
              </w:rPr>
              <w:fldChar w:fldCharType="begin"/>
            </w:r>
            <w:r w:rsidR="00CD0AF8">
              <w:rPr>
                <w:noProof/>
                <w:webHidden/>
              </w:rPr>
              <w:instrText xml:space="preserve"> PAGEREF _Toc124255087 \h </w:instrText>
            </w:r>
            <w:r w:rsidR="00CD0AF8">
              <w:rPr>
                <w:noProof/>
                <w:webHidden/>
              </w:rPr>
            </w:r>
            <w:r w:rsidR="00CD0AF8">
              <w:rPr>
                <w:noProof/>
                <w:webHidden/>
              </w:rPr>
              <w:fldChar w:fldCharType="separate"/>
            </w:r>
            <w:r w:rsidR="00CD0AF8">
              <w:rPr>
                <w:noProof/>
                <w:webHidden/>
              </w:rPr>
              <w:t>121</w:t>
            </w:r>
            <w:r w:rsidR="00CD0AF8">
              <w:rPr>
                <w:noProof/>
                <w:webHidden/>
              </w:rPr>
              <w:fldChar w:fldCharType="end"/>
            </w:r>
          </w:hyperlink>
        </w:p>
        <w:p w14:paraId="548AA08F" w14:textId="33810CEB"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88" w:history="1">
            <w:r w:rsidR="00CD0AF8" w:rsidRPr="009C0A3A">
              <w:rPr>
                <w:rStyle w:val="Hyperlink"/>
                <w:noProof/>
              </w:rPr>
              <w:t>1.</w:t>
            </w:r>
            <w:r w:rsidR="00CD0AF8">
              <w:rPr>
                <w:rFonts w:eastAsiaTheme="minorEastAsia" w:cstheme="minorBidi"/>
                <w:b w:val="0"/>
                <w:bCs w:val="0"/>
                <w:noProof/>
                <w:sz w:val="22"/>
                <w:szCs w:val="22"/>
              </w:rPr>
              <w:tab/>
            </w:r>
            <w:r w:rsidR="00CD0AF8" w:rsidRPr="009C0A3A">
              <w:rPr>
                <w:rStyle w:val="Hyperlink"/>
                <w:noProof/>
              </w:rPr>
              <w:t>Introduction</w:t>
            </w:r>
            <w:r w:rsidR="00CD0AF8">
              <w:rPr>
                <w:noProof/>
                <w:webHidden/>
              </w:rPr>
              <w:tab/>
            </w:r>
            <w:r w:rsidR="00CD0AF8">
              <w:rPr>
                <w:noProof/>
                <w:webHidden/>
              </w:rPr>
              <w:fldChar w:fldCharType="begin"/>
            </w:r>
            <w:r w:rsidR="00CD0AF8">
              <w:rPr>
                <w:noProof/>
                <w:webHidden/>
              </w:rPr>
              <w:instrText xml:space="preserve"> PAGEREF _Toc124255088 \h </w:instrText>
            </w:r>
            <w:r w:rsidR="00CD0AF8">
              <w:rPr>
                <w:noProof/>
                <w:webHidden/>
              </w:rPr>
            </w:r>
            <w:r w:rsidR="00CD0AF8">
              <w:rPr>
                <w:noProof/>
                <w:webHidden/>
              </w:rPr>
              <w:fldChar w:fldCharType="separate"/>
            </w:r>
            <w:r w:rsidR="00CD0AF8">
              <w:rPr>
                <w:noProof/>
                <w:webHidden/>
              </w:rPr>
              <w:t>121</w:t>
            </w:r>
            <w:r w:rsidR="00CD0AF8">
              <w:rPr>
                <w:noProof/>
                <w:webHidden/>
              </w:rPr>
              <w:fldChar w:fldCharType="end"/>
            </w:r>
          </w:hyperlink>
        </w:p>
        <w:p w14:paraId="653E7280" w14:textId="1ABEC41A"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89" w:history="1">
            <w:r w:rsidR="00CD0AF8" w:rsidRPr="009C0A3A">
              <w:rPr>
                <w:rStyle w:val="Hyperlink"/>
                <w:noProof/>
              </w:rPr>
              <w:t>2.</w:t>
            </w:r>
            <w:r w:rsidR="00CD0AF8">
              <w:rPr>
                <w:rFonts w:eastAsiaTheme="minorEastAsia" w:cstheme="minorBidi"/>
                <w:b w:val="0"/>
                <w:bCs w:val="0"/>
                <w:noProof/>
                <w:sz w:val="22"/>
                <w:szCs w:val="22"/>
              </w:rPr>
              <w:tab/>
            </w:r>
            <w:r w:rsidR="00CD0AF8" w:rsidRPr="009C0A3A">
              <w:rPr>
                <w:rStyle w:val="Hyperlink"/>
                <w:noProof/>
              </w:rPr>
              <w:t>Eligibility</w:t>
            </w:r>
            <w:r w:rsidR="00CD0AF8">
              <w:rPr>
                <w:noProof/>
                <w:webHidden/>
              </w:rPr>
              <w:tab/>
            </w:r>
            <w:r w:rsidR="00CD0AF8">
              <w:rPr>
                <w:noProof/>
                <w:webHidden/>
              </w:rPr>
              <w:fldChar w:fldCharType="begin"/>
            </w:r>
            <w:r w:rsidR="00CD0AF8">
              <w:rPr>
                <w:noProof/>
                <w:webHidden/>
              </w:rPr>
              <w:instrText xml:space="preserve"> PAGEREF _Toc124255089 \h </w:instrText>
            </w:r>
            <w:r w:rsidR="00CD0AF8">
              <w:rPr>
                <w:noProof/>
                <w:webHidden/>
              </w:rPr>
            </w:r>
            <w:r w:rsidR="00CD0AF8">
              <w:rPr>
                <w:noProof/>
                <w:webHidden/>
              </w:rPr>
              <w:fldChar w:fldCharType="separate"/>
            </w:r>
            <w:r w:rsidR="00CD0AF8">
              <w:rPr>
                <w:noProof/>
                <w:webHidden/>
              </w:rPr>
              <w:t>121</w:t>
            </w:r>
            <w:r w:rsidR="00CD0AF8">
              <w:rPr>
                <w:noProof/>
                <w:webHidden/>
              </w:rPr>
              <w:fldChar w:fldCharType="end"/>
            </w:r>
          </w:hyperlink>
        </w:p>
        <w:p w14:paraId="27BB8F90" w14:textId="471DD938"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90" w:history="1">
            <w:r w:rsidR="00CD0AF8" w:rsidRPr="009C0A3A">
              <w:rPr>
                <w:rStyle w:val="Hyperlink"/>
                <w:noProof/>
              </w:rPr>
              <w:t>3.</w:t>
            </w:r>
            <w:r w:rsidR="00CD0AF8">
              <w:rPr>
                <w:rFonts w:eastAsiaTheme="minorEastAsia" w:cstheme="minorBidi"/>
                <w:b w:val="0"/>
                <w:bCs w:val="0"/>
                <w:noProof/>
                <w:sz w:val="22"/>
                <w:szCs w:val="22"/>
              </w:rPr>
              <w:tab/>
            </w:r>
            <w:r w:rsidR="00CD0AF8" w:rsidRPr="009C0A3A">
              <w:rPr>
                <w:rStyle w:val="Hyperlink"/>
                <w:noProof/>
              </w:rPr>
              <w:t>Additional Guidance</w:t>
            </w:r>
            <w:r w:rsidR="00CD0AF8">
              <w:rPr>
                <w:noProof/>
                <w:webHidden/>
              </w:rPr>
              <w:tab/>
            </w:r>
            <w:r w:rsidR="00CD0AF8">
              <w:rPr>
                <w:noProof/>
                <w:webHidden/>
              </w:rPr>
              <w:fldChar w:fldCharType="begin"/>
            </w:r>
            <w:r w:rsidR="00CD0AF8">
              <w:rPr>
                <w:noProof/>
                <w:webHidden/>
              </w:rPr>
              <w:instrText xml:space="preserve"> PAGEREF _Toc124255090 \h </w:instrText>
            </w:r>
            <w:r w:rsidR="00CD0AF8">
              <w:rPr>
                <w:noProof/>
                <w:webHidden/>
              </w:rPr>
            </w:r>
            <w:r w:rsidR="00CD0AF8">
              <w:rPr>
                <w:noProof/>
                <w:webHidden/>
              </w:rPr>
              <w:fldChar w:fldCharType="separate"/>
            </w:r>
            <w:r w:rsidR="00CD0AF8">
              <w:rPr>
                <w:noProof/>
                <w:webHidden/>
              </w:rPr>
              <w:t>121</w:t>
            </w:r>
            <w:r w:rsidR="00CD0AF8">
              <w:rPr>
                <w:noProof/>
                <w:webHidden/>
              </w:rPr>
              <w:fldChar w:fldCharType="end"/>
            </w:r>
          </w:hyperlink>
        </w:p>
        <w:p w14:paraId="617F52D7" w14:textId="0B1909F7" w:rsidR="00CD0AF8" w:rsidRDefault="00000000">
          <w:pPr>
            <w:pStyle w:val="TOC1"/>
            <w:tabs>
              <w:tab w:val="right" w:leader="dot" w:pos="12950"/>
            </w:tabs>
            <w:rPr>
              <w:rFonts w:eastAsiaTheme="minorEastAsia" w:cstheme="minorBidi"/>
              <w:b w:val="0"/>
              <w:bCs w:val="0"/>
              <w:i w:val="0"/>
              <w:iCs w:val="0"/>
              <w:noProof/>
              <w:sz w:val="22"/>
              <w:szCs w:val="22"/>
            </w:rPr>
          </w:pPr>
          <w:hyperlink w:anchor="_Toc124255091" w:history="1">
            <w:r w:rsidR="00CD0AF8" w:rsidRPr="009C0A3A">
              <w:rPr>
                <w:rStyle w:val="Hyperlink"/>
                <w:noProof/>
              </w:rPr>
              <w:t>Guidelines for California Emergency Solutions and Housing (CESH)</w:t>
            </w:r>
            <w:r w:rsidR="00CD0AF8">
              <w:rPr>
                <w:noProof/>
                <w:webHidden/>
              </w:rPr>
              <w:tab/>
            </w:r>
            <w:r w:rsidR="00CD0AF8">
              <w:rPr>
                <w:noProof/>
                <w:webHidden/>
              </w:rPr>
              <w:fldChar w:fldCharType="begin"/>
            </w:r>
            <w:r w:rsidR="00CD0AF8">
              <w:rPr>
                <w:noProof/>
                <w:webHidden/>
              </w:rPr>
              <w:instrText xml:space="preserve"> PAGEREF _Toc124255091 \h </w:instrText>
            </w:r>
            <w:r w:rsidR="00CD0AF8">
              <w:rPr>
                <w:noProof/>
                <w:webHidden/>
              </w:rPr>
            </w:r>
            <w:r w:rsidR="00CD0AF8">
              <w:rPr>
                <w:noProof/>
                <w:webHidden/>
              </w:rPr>
              <w:fldChar w:fldCharType="separate"/>
            </w:r>
            <w:r w:rsidR="00CD0AF8">
              <w:rPr>
                <w:noProof/>
                <w:webHidden/>
              </w:rPr>
              <w:t>122</w:t>
            </w:r>
            <w:r w:rsidR="00CD0AF8">
              <w:rPr>
                <w:noProof/>
                <w:webHidden/>
              </w:rPr>
              <w:fldChar w:fldCharType="end"/>
            </w:r>
          </w:hyperlink>
        </w:p>
        <w:p w14:paraId="6C99DF8A" w14:textId="03E00164"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92" w:history="1">
            <w:r w:rsidR="00CD0AF8" w:rsidRPr="009C0A3A">
              <w:rPr>
                <w:rStyle w:val="Hyperlink"/>
                <w:noProof/>
              </w:rPr>
              <w:t>1.</w:t>
            </w:r>
            <w:r w:rsidR="00CD0AF8">
              <w:rPr>
                <w:rFonts w:eastAsiaTheme="minorEastAsia" w:cstheme="minorBidi"/>
                <w:b w:val="0"/>
                <w:bCs w:val="0"/>
                <w:noProof/>
                <w:sz w:val="22"/>
                <w:szCs w:val="22"/>
              </w:rPr>
              <w:tab/>
            </w:r>
            <w:r w:rsidR="00CD0AF8" w:rsidRPr="009C0A3A">
              <w:rPr>
                <w:rStyle w:val="Hyperlink"/>
                <w:noProof/>
              </w:rPr>
              <w:t>Introduction</w:t>
            </w:r>
            <w:r w:rsidR="00CD0AF8">
              <w:rPr>
                <w:noProof/>
                <w:webHidden/>
              </w:rPr>
              <w:tab/>
            </w:r>
            <w:r w:rsidR="00CD0AF8">
              <w:rPr>
                <w:noProof/>
                <w:webHidden/>
              </w:rPr>
              <w:fldChar w:fldCharType="begin"/>
            </w:r>
            <w:r w:rsidR="00CD0AF8">
              <w:rPr>
                <w:noProof/>
                <w:webHidden/>
              </w:rPr>
              <w:instrText xml:space="preserve"> PAGEREF _Toc124255092 \h </w:instrText>
            </w:r>
            <w:r w:rsidR="00CD0AF8">
              <w:rPr>
                <w:noProof/>
                <w:webHidden/>
              </w:rPr>
            </w:r>
            <w:r w:rsidR="00CD0AF8">
              <w:rPr>
                <w:noProof/>
                <w:webHidden/>
              </w:rPr>
              <w:fldChar w:fldCharType="separate"/>
            </w:r>
            <w:r w:rsidR="00CD0AF8">
              <w:rPr>
                <w:noProof/>
                <w:webHidden/>
              </w:rPr>
              <w:t>122</w:t>
            </w:r>
            <w:r w:rsidR="00CD0AF8">
              <w:rPr>
                <w:noProof/>
                <w:webHidden/>
              </w:rPr>
              <w:fldChar w:fldCharType="end"/>
            </w:r>
          </w:hyperlink>
        </w:p>
        <w:p w14:paraId="66219E60" w14:textId="505E8907"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93" w:history="1">
            <w:r w:rsidR="00CD0AF8" w:rsidRPr="009C0A3A">
              <w:rPr>
                <w:rStyle w:val="Hyperlink"/>
                <w:noProof/>
              </w:rPr>
              <w:t>2.</w:t>
            </w:r>
            <w:r w:rsidR="00CD0AF8">
              <w:rPr>
                <w:rFonts w:eastAsiaTheme="minorEastAsia" w:cstheme="minorBidi"/>
                <w:b w:val="0"/>
                <w:bCs w:val="0"/>
                <w:noProof/>
                <w:sz w:val="22"/>
                <w:szCs w:val="22"/>
              </w:rPr>
              <w:tab/>
            </w:r>
            <w:r w:rsidR="00CD0AF8" w:rsidRPr="009C0A3A">
              <w:rPr>
                <w:rStyle w:val="Hyperlink"/>
                <w:noProof/>
              </w:rPr>
              <w:t>Eligibility</w:t>
            </w:r>
            <w:r w:rsidR="00CD0AF8">
              <w:rPr>
                <w:noProof/>
                <w:webHidden/>
              </w:rPr>
              <w:tab/>
            </w:r>
            <w:r w:rsidR="00CD0AF8">
              <w:rPr>
                <w:noProof/>
                <w:webHidden/>
              </w:rPr>
              <w:fldChar w:fldCharType="begin"/>
            </w:r>
            <w:r w:rsidR="00CD0AF8">
              <w:rPr>
                <w:noProof/>
                <w:webHidden/>
              </w:rPr>
              <w:instrText xml:space="preserve"> PAGEREF _Toc124255093 \h </w:instrText>
            </w:r>
            <w:r w:rsidR="00CD0AF8">
              <w:rPr>
                <w:noProof/>
                <w:webHidden/>
              </w:rPr>
            </w:r>
            <w:r w:rsidR="00CD0AF8">
              <w:rPr>
                <w:noProof/>
                <w:webHidden/>
              </w:rPr>
              <w:fldChar w:fldCharType="separate"/>
            </w:r>
            <w:r w:rsidR="00CD0AF8">
              <w:rPr>
                <w:noProof/>
                <w:webHidden/>
              </w:rPr>
              <w:t>122</w:t>
            </w:r>
            <w:r w:rsidR="00CD0AF8">
              <w:rPr>
                <w:noProof/>
                <w:webHidden/>
              </w:rPr>
              <w:fldChar w:fldCharType="end"/>
            </w:r>
          </w:hyperlink>
        </w:p>
        <w:p w14:paraId="32C5C2C9" w14:textId="7824CBCC"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94" w:history="1">
            <w:r w:rsidR="00CD0AF8" w:rsidRPr="009C0A3A">
              <w:rPr>
                <w:rStyle w:val="Hyperlink"/>
                <w:noProof/>
              </w:rPr>
              <w:t>3.</w:t>
            </w:r>
            <w:r w:rsidR="00CD0AF8">
              <w:rPr>
                <w:rFonts w:eastAsiaTheme="minorEastAsia" w:cstheme="minorBidi"/>
                <w:b w:val="0"/>
                <w:bCs w:val="0"/>
                <w:noProof/>
                <w:sz w:val="22"/>
                <w:szCs w:val="22"/>
              </w:rPr>
              <w:tab/>
            </w:r>
            <w:r w:rsidR="00CD0AF8" w:rsidRPr="009C0A3A">
              <w:rPr>
                <w:rStyle w:val="Hyperlink"/>
                <w:noProof/>
              </w:rPr>
              <w:t>Prioritization</w:t>
            </w:r>
            <w:r w:rsidR="00CD0AF8">
              <w:rPr>
                <w:noProof/>
                <w:webHidden/>
              </w:rPr>
              <w:tab/>
            </w:r>
            <w:r w:rsidR="00CD0AF8">
              <w:rPr>
                <w:noProof/>
                <w:webHidden/>
              </w:rPr>
              <w:fldChar w:fldCharType="begin"/>
            </w:r>
            <w:r w:rsidR="00CD0AF8">
              <w:rPr>
                <w:noProof/>
                <w:webHidden/>
              </w:rPr>
              <w:instrText xml:space="preserve"> PAGEREF _Toc124255094 \h </w:instrText>
            </w:r>
            <w:r w:rsidR="00CD0AF8">
              <w:rPr>
                <w:noProof/>
                <w:webHidden/>
              </w:rPr>
            </w:r>
            <w:r w:rsidR="00CD0AF8">
              <w:rPr>
                <w:noProof/>
                <w:webHidden/>
              </w:rPr>
              <w:fldChar w:fldCharType="separate"/>
            </w:r>
            <w:r w:rsidR="00CD0AF8">
              <w:rPr>
                <w:noProof/>
                <w:webHidden/>
              </w:rPr>
              <w:t>122</w:t>
            </w:r>
            <w:r w:rsidR="00CD0AF8">
              <w:rPr>
                <w:noProof/>
                <w:webHidden/>
              </w:rPr>
              <w:fldChar w:fldCharType="end"/>
            </w:r>
          </w:hyperlink>
        </w:p>
        <w:p w14:paraId="67CE60CC" w14:textId="2DDAA86C" w:rsidR="00CD0AF8" w:rsidRDefault="00000000">
          <w:pPr>
            <w:pStyle w:val="TOC1"/>
            <w:tabs>
              <w:tab w:val="right" w:leader="dot" w:pos="12950"/>
            </w:tabs>
            <w:rPr>
              <w:rFonts w:eastAsiaTheme="minorEastAsia" w:cstheme="minorBidi"/>
              <w:b w:val="0"/>
              <w:bCs w:val="0"/>
              <w:i w:val="0"/>
              <w:iCs w:val="0"/>
              <w:noProof/>
              <w:sz w:val="22"/>
              <w:szCs w:val="22"/>
            </w:rPr>
          </w:pPr>
          <w:hyperlink w:anchor="_Toc124255095" w:history="1">
            <w:r w:rsidR="00CD0AF8" w:rsidRPr="009C0A3A">
              <w:rPr>
                <w:rStyle w:val="Hyperlink"/>
                <w:noProof/>
              </w:rPr>
              <w:t>Guidelines For Homeless Housing, Assistance and Prevention Program (HHAP)</w:t>
            </w:r>
            <w:r w:rsidR="00CD0AF8">
              <w:rPr>
                <w:noProof/>
                <w:webHidden/>
              </w:rPr>
              <w:tab/>
            </w:r>
            <w:r w:rsidR="00CD0AF8">
              <w:rPr>
                <w:noProof/>
                <w:webHidden/>
              </w:rPr>
              <w:fldChar w:fldCharType="begin"/>
            </w:r>
            <w:r w:rsidR="00CD0AF8">
              <w:rPr>
                <w:noProof/>
                <w:webHidden/>
              </w:rPr>
              <w:instrText xml:space="preserve"> PAGEREF _Toc124255095 \h </w:instrText>
            </w:r>
            <w:r w:rsidR="00CD0AF8">
              <w:rPr>
                <w:noProof/>
                <w:webHidden/>
              </w:rPr>
            </w:r>
            <w:r w:rsidR="00CD0AF8">
              <w:rPr>
                <w:noProof/>
                <w:webHidden/>
              </w:rPr>
              <w:fldChar w:fldCharType="separate"/>
            </w:r>
            <w:r w:rsidR="00CD0AF8">
              <w:rPr>
                <w:noProof/>
                <w:webHidden/>
              </w:rPr>
              <w:t>123</w:t>
            </w:r>
            <w:r w:rsidR="00CD0AF8">
              <w:rPr>
                <w:noProof/>
                <w:webHidden/>
              </w:rPr>
              <w:fldChar w:fldCharType="end"/>
            </w:r>
          </w:hyperlink>
        </w:p>
        <w:p w14:paraId="736472C2" w14:textId="21A81A20"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96" w:history="1">
            <w:r w:rsidR="00CD0AF8" w:rsidRPr="009C0A3A">
              <w:rPr>
                <w:rStyle w:val="Hyperlink"/>
                <w:noProof/>
              </w:rPr>
              <w:t>1.</w:t>
            </w:r>
            <w:r w:rsidR="00CD0AF8">
              <w:rPr>
                <w:rFonts w:eastAsiaTheme="minorEastAsia" w:cstheme="minorBidi"/>
                <w:b w:val="0"/>
                <w:bCs w:val="0"/>
                <w:noProof/>
                <w:sz w:val="22"/>
                <w:szCs w:val="22"/>
              </w:rPr>
              <w:tab/>
            </w:r>
            <w:r w:rsidR="00CD0AF8" w:rsidRPr="009C0A3A">
              <w:rPr>
                <w:rStyle w:val="Hyperlink"/>
                <w:noProof/>
              </w:rPr>
              <w:t>Introduction</w:t>
            </w:r>
            <w:r w:rsidR="00CD0AF8">
              <w:rPr>
                <w:noProof/>
                <w:webHidden/>
              </w:rPr>
              <w:tab/>
            </w:r>
            <w:r w:rsidR="00CD0AF8">
              <w:rPr>
                <w:noProof/>
                <w:webHidden/>
              </w:rPr>
              <w:fldChar w:fldCharType="begin"/>
            </w:r>
            <w:r w:rsidR="00CD0AF8">
              <w:rPr>
                <w:noProof/>
                <w:webHidden/>
              </w:rPr>
              <w:instrText xml:space="preserve"> PAGEREF _Toc124255096 \h </w:instrText>
            </w:r>
            <w:r w:rsidR="00CD0AF8">
              <w:rPr>
                <w:noProof/>
                <w:webHidden/>
              </w:rPr>
            </w:r>
            <w:r w:rsidR="00CD0AF8">
              <w:rPr>
                <w:noProof/>
                <w:webHidden/>
              </w:rPr>
              <w:fldChar w:fldCharType="separate"/>
            </w:r>
            <w:r w:rsidR="00CD0AF8">
              <w:rPr>
                <w:noProof/>
                <w:webHidden/>
              </w:rPr>
              <w:t>123</w:t>
            </w:r>
            <w:r w:rsidR="00CD0AF8">
              <w:rPr>
                <w:noProof/>
                <w:webHidden/>
              </w:rPr>
              <w:fldChar w:fldCharType="end"/>
            </w:r>
          </w:hyperlink>
        </w:p>
        <w:p w14:paraId="6F9377F5" w14:textId="653DA6F8"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97" w:history="1">
            <w:r w:rsidR="00CD0AF8" w:rsidRPr="009C0A3A">
              <w:rPr>
                <w:rStyle w:val="Hyperlink"/>
                <w:noProof/>
              </w:rPr>
              <w:t>2.</w:t>
            </w:r>
            <w:r w:rsidR="00CD0AF8">
              <w:rPr>
                <w:rFonts w:eastAsiaTheme="minorEastAsia" w:cstheme="minorBidi"/>
                <w:b w:val="0"/>
                <w:bCs w:val="0"/>
                <w:noProof/>
                <w:sz w:val="22"/>
                <w:szCs w:val="22"/>
              </w:rPr>
              <w:tab/>
            </w:r>
            <w:r w:rsidR="00CD0AF8" w:rsidRPr="009C0A3A">
              <w:rPr>
                <w:rStyle w:val="Hyperlink"/>
                <w:noProof/>
              </w:rPr>
              <w:t>Eligibility</w:t>
            </w:r>
            <w:r w:rsidR="00CD0AF8">
              <w:rPr>
                <w:noProof/>
                <w:webHidden/>
              </w:rPr>
              <w:tab/>
            </w:r>
            <w:r w:rsidR="00CD0AF8">
              <w:rPr>
                <w:noProof/>
                <w:webHidden/>
              </w:rPr>
              <w:fldChar w:fldCharType="begin"/>
            </w:r>
            <w:r w:rsidR="00CD0AF8">
              <w:rPr>
                <w:noProof/>
                <w:webHidden/>
              </w:rPr>
              <w:instrText xml:space="preserve"> PAGEREF _Toc124255097 \h </w:instrText>
            </w:r>
            <w:r w:rsidR="00CD0AF8">
              <w:rPr>
                <w:noProof/>
                <w:webHidden/>
              </w:rPr>
            </w:r>
            <w:r w:rsidR="00CD0AF8">
              <w:rPr>
                <w:noProof/>
                <w:webHidden/>
              </w:rPr>
              <w:fldChar w:fldCharType="separate"/>
            </w:r>
            <w:r w:rsidR="00CD0AF8">
              <w:rPr>
                <w:noProof/>
                <w:webHidden/>
              </w:rPr>
              <w:t>123</w:t>
            </w:r>
            <w:r w:rsidR="00CD0AF8">
              <w:rPr>
                <w:noProof/>
                <w:webHidden/>
              </w:rPr>
              <w:fldChar w:fldCharType="end"/>
            </w:r>
          </w:hyperlink>
        </w:p>
        <w:p w14:paraId="076DD909" w14:textId="7D22ACDA"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098" w:history="1">
            <w:r w:rsidR="00CD0AF8" w:rsidRPr="009C0A3A">
              <w:rPr>
                <w:rStyle w:val="Hyperlink"/>
                <w:noProof/>
              </w:rPr>
              <w:t>3.</w:t>
            </w:r>
            <w:r w:rsidR="00CD0AF8">
              <w:rPr>
                <w:rFonts w:eastAsiaTheme="minorEastAsia" w:cstheme="minorBidi"/>
                <w:b w:val="0"/>
                <w:bCs w:val="0"/>
                <w:noProof/>
                <w:sz w:val="22"/>
                <w:szCs w:val="22"/>
              </w:rPr>
              <w:tab/>
            </w:r>
            <w:r w:rsidR="00CD0AF8" w:rsidRPr="009C0A3A">
              <w:rPr>
                <w:rStyle w:val="Hyperlink"/>
                <w:noProof/>
              </w:rPr>
              <w:t>Additional Guidance</w:t>
            </w:r>
            <w:r w:rsidR="00CD0AF8">
              <w:rPr>
                <w:noProof/>
                <w:webHidden/>
              </w:rPr>
              <w:tab/>
            </w:r>
            <w:r w:rsidR="00CD0AF8">
              <w:rPr>
                <w:noProof/>
                <w:webHidden/>
              </w:rPr>
              <w:fldChar w:fldCharType="begin"/>
            </w:r>
            <w:r w:rsidR="00CD0AF8">
              <w:rPr>
                <w:noProof/>
                <w:webHidden/>
              </w:rPr>
              <w:instrText xml:space="preserve"> PAGEREF _Toc124255098 \h </w:instrText>
            </w:r>
            <w:r w:rsidR="00CD0AF8">
              <w:rPr>
                <w:noProof/>
                <w:webHidden/>
              </w:rPr>
            </w:r>
            <w:r w:rsidR="00CD0AF8">
              <w:rPr>
                <w:noProof/>
                <w:webHidden/>
              </w:rPr>
              <w:fldChar w:fldCharType="separate"/>
            </w:r>
            <w:r w:rsidR="00CD0AF8">
              <w:rPr>
                <w:noProof/>
                <w:webHidden/>
              </w:rPr>
              <w:t>123</w:t>
            </w:r>
            <w:r w:rsidR="00CD0AF8">
              <w:rPr>
                <w:noProof/>
                <w:webHidden/>
              </w:rPr>
              <w:fldChar w:fldCharType="end"/>
            </w:r>
          </w:hyperlink>
        </w:p>
        <w:p w14:paraId="1C2BD875" w14:textId="270E467A" w:rsidR="00CD0AF8" w:rsidRDefault="00000000">
          <w:pPr>
            <w:pStyle w:val="TOC1"/>
            <w:tabs>
              <w:tab w:val="right" w:leader="dot" w:pos="12950"/>
            </w:tabs>
            <w:rPr>
              <w:rFonts w:eastAsiaTheme="minorEastAsia" w:cstheme="minorBidi"/>
              <w:b w:val="0"/>
              <w:bCs w:val="0"/>
              <w:i w:val="0"/>
              <w:iCs w:val="0"/>
              <w:noProof/>
              <w:sz w:val="22"/>
              <w:szCs w:val="22"/>
            </w:rPr>
          </w:pPr>
          <w:hyperlink w:anchor="_Toc124255099" w:history="1">
            <w:r w:rsidR="00CD0AF8" w:rsidRPr="009C0A3A">
              <w:rPr>
                <w:rStyle w:val="Hyperlink"/>
                <w:noProof/>
              </w:rPr>
              <w:t>Appendix</w:t>
            </w:r>
            <w:r w:rsidR="00CD0AF8">
              <w:rPr>
                <w:noProof/>
                <w:webHidden/>
              </w:rPr>
              <w:tab/>
            </w:r>
            <w:r w:rsidR="00CD0AF8">
              <w:rPr>
                <w:noProof/>
                <w:webHidden/>
              </w:rPr>
              <w:fldChar w:fldCharType="begin"/>
            </w:r>
            <w:r w:rsidR="00CD0AF8">
              <w:rPr>
                <w:noProof/>
                <w:webHidden/>
              </w:rPr>
              <w:instrText xml:space="preserve"> PAGEREF _Toc124255099 \h </w:instrText>
            </w:r>
            <w:r w:rsidR="00CD0AF8">
              <w:rPr>
                <w:noProof/>
                <w:webHidden/>
              </w:rPr>
            </w:r>
            <w:r w:rsidR="00CD0AF8">
              <w:rPr>
                <w:noProof/>
                <w:webHidden/>
              </w:rPr>
              <w:fldChar w:fldCharType="separate"/>
            </w:r>
            <w:r w:rsidR="00CD0AF8">
              <w:rPr>
                <w:noProof/>
                <w:webHidden/>
              </w:rPr>
              <w:t>123</w:t>
            </w:r>
            <w:r w:rsidR="00CD0AF8">
              <w:rPr>
                <w:noProof/>
                <w:webHidden/>
              </w:rPr>
              <w:fldChar w:fldCharType="end"/>
            </w:r>
          </w:hyperlink>
        </w:p>
        <w:p w14:paraId="591BBE18" w14:textId="1156275F"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100" w:history="1">
            <w:r w:rsidR="00CD0AF8" w:rsidRPr="009C0A3A">
              <w:rPr>
                <w:rStyle w:val="Hyperlink"/>
                <w:noProof/>
              </w:rPr>
              <w:t>A.</w:t>
            </w:r>
            <w:r w:rsidR="00CD0AF8">
              <w:rPr>
                <w:rFonts w:eastAsiaTheme="minorEastAsia" w:cstheme="minorBidi"/>
                <w:b w:val="0"/>
                <w:bCs w:val="0"/>
                <w:noProof/>
                <w:sz w:val="22"/>
                <w:szCs w:val="22"/>
              </w:rPr>
              <w:tab/>
            </w:r>
            <w:r w:rsidR="00CD0AF8" w:rsidRPr="009C0A3A">
              <w:rPr>
                <w:rStyle w:val="Hyperlink"/>
                <w:noProof/>
              </w:rPr>
              <w:t>Components of Eligible ESG and CoC Activities</w:t>
            </w:r>
            <w:r w:rsidR="00CD0AF8">
              <w:rPr>
                <w:noProof/>
                <w:webHidden/>
              </w:rPr>
              <w:tab/>
            </w:r>
            <w:r w:rsidR="00CD0AF8">
              <w:rPr>
                <w:noProof/>
                <w:webHidden/>
              </w:rPr>
              <w:fldChar w:fldCharType="begin"/>
            </w:r>
            <w:r w:rsidR="00CD0AF8">
              <w:rPr>
                <w:noProof/>
                <w:webHidden/>
              </w:rPr>
              <w:instrText xml:space="preserve"> PAGEREF _Toc124255100 \h </w:instrText>
            </w:r>
            <w:r w:rsidR="00CD0AF8">
              <w:rPr>
                <w:noProof/>
                <w:webHidden/>
              </w:rPr>
            </w:r>
            <w:r w:rsidR="00CD0AF8">
              <w:rPr>
                <w:noProof/>
                <w:webHidden/>
              </w:rPr>
              <w:fldChar w:fldCharType="separate"/>
            </w:r>
            <w:r w:rsidR="00CD0AF8">
              <w:rPr>
                <w:noProof/>
                <w:webHidden/>
              </w:rPr>
              <w:t>124</w:t>
            </w:r>
            <w:r w:rsidR="00CD0AF8">
              <w:rPr>
                <w:noProof/>
                <w:webHidden/>
              </w:rPr>
              <w:fldChar w:fldCharType="end"/>
            </w:r>
          </w:hyperlink>
        </w:p>
        <w:p w14:paraId="18588466" w14:textId="619FE5ED"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101" w:history="1">
            <w:r w:rsidR="00CD0AF8" w:rsidRPr="009C0A3A">
              <w:rPr>
                <w:rStyle w:val="Hyperlink"/>
                <w:noProof/>
              </w:rPr>
              <w:t>1.</w:t>
            </w:r>
            <w:r w:rsidR="00CD0AF8">
              <w:rPr>
                <w:rFonts w:eastAsiaTheme="minorEastAsia" w:cstheme="minorBidi"/>
                <w:b w:val="0"/>
                <w:bCs w:val="0"/>
                <w:noProof/>
                <w:sz w:val="22"/>
                <w:szCs w:val="22"/>
              </w:rPr>
              <w:tab/>
            </w:r>
            <w:r w:rsidR="00CD0AF8" w:rsidRPr="009C0A3A">
              <w:rPr>
                <w:rStyle w:val="Hyperlink"/>
                <w:noProof/>
              </w:rPr>
              <w:t>Introduction</w:t>
            </w:r>
            <w:r w:rsidR="00CD0AF8">
              <w:rPr>
                <w:noProof/>
                <w:webHidden/>
              </w:rPr>
              <w:tab/>
            </w:r>
            <w:r w:rsidR="00CD0AF8">
              <w:rPr>
                <w:noProof/>
                <w:webHidden/>
              </w:rPr>
              <w:fldChar w:fldCharType="begin"/>
            </w:r>
            <w:r w:rsidR="00CD0AF8">
              <w:rPr>
                <w:noProof/>
                <w:webHidden/>
              </w:rPr>
              <w:instrText xml:space="preserve"> PAGEREF _Toc124255101 \h </w:instrText>
            </w:r>
            <w:r w:rsidR="00CD0AF8">
              <w:rPr>
                <w:noProof/>
                <w:webHidden/>
              </w:rPr>
            </w:r>
            <w:r w:rsidR="00CD0AF8">
              <w:rPr>
                <w:noProof/>
                <w:webHidden/>
              </w:rPr>
              <w:fldChar w:fldCharType="separate"/>
            </w:r>
            <w:r w:rsidR="00CD0AF8">
              <w:rPr>
                <w:noProof/>
                <w:webHidden/>
              </w:rPr>
              <w:t>124</w:t>
            </w:r>
            <w:r w:rsidR="00CD0AF8">
              <w:rPr>
                <w:noProof/>
                <w:webHidden/>
              </w:rPr>
              <w:fldChar w:fldCharType="end"/>
            </w:r>
          </w:hyperlink>
        </w:p>
        <w:p w14:paraId="16DC0331" w14:textId="6D60B74C"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102" w:history="1">
            <w:r w:rsidR="00CD0AF8" w:rsidRPr="009C0A3A">
              <w:rPr>
                <w:rStyle w:val="Hyperlink"/>
                <w:noProof/>
              </w:rPr>
              <w:t>2.</w:t>
            </w:r>
            <w:r w:rsidR="00CD0AF8">
              <w:rPr>
                <w:rFonts w:eastAsiaTheme="minorEastAsia" w:cstheme="minorBidi"/>
                <w:b w:val="0"/>
                <w:bCs w:val="0"/>
                <w:noProof/>
                <w:sz w:val="22"/>
                <w:szCs w:val="22"/>
              </w:rPr>
              <w:tab/>
            </w:r>
            <w:r w:rsidR="00CD0AF8" w:rsidRPr="009C0A3A">
              <w:rPr>
                <w:rStyle w:val="Hyperlink"/>
                <w:noProof/>
              </w:rPr>
              <w:t>Emergency Solutions Grant Eligible Components</w:t>
            </w:r>
            <w:r w:rsidR="00CD0AF8">
              <w:rPr>
                <w:noProof/>
                <w:webHidden/>
              </w:rPr>
              <w:tab/>
            </w:r>
            <w:r w:rsidR="00CD0AF8">
              <w:rPr>
                <w:noProof/>
                <w:webHidden/>
              </w:rPr>
              <w:fldChar w:fldCharType="begin"/>
            </w:r>
            <w:r w:rsidR="00CD0AF8">
              <w:rPr>
                <w:noProof/>
                <w:webHidden/>
              </w:rPr>
              <w:instrText xml:space="preserve"> PAGEREF _Toc124255102 \h </w:instrText>
            </w:r>
            <w:r w:rsidR="00CD0AF8">
              <w:rPr>
                <w:noProof/>
                <w:webHidden/>
              </w:rPr>
            </w:r>
            <w:r w:rsidR="00CD0AF8">
              <w:rPr>
                <w:noProof/>
                <w:webHidden/>
              </w:rPr>
              <w:fldChar w:fldCharType="separate"/>
            </w:r>
            <w:r w:rsidR="00CD0AF8">
              <w:rPr>
                <w:noProof/>
                <w:webHidden/>
              </w:rPr>
              <w:t>124</w:t>
            </w:r>
            <w:r w:rsidR="00CD0AF8">
              <w:rPr>
                <w:noProof/>
                <w:webHidden/>
              </w:rPr>
              <w:fldChar w:fldCharType="end"/>
            </w:r>
          </w:hyperlink>
        </w:p>
        <w:p w14:paraId="117322E1" w14:textId="50E7C8EB"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103" w:history="1">
            <w:r w:rsidR="00CD0AF8" w:rsidRPr="009C0A3A">
              <w:rPr>
                <w:rStyle w:val="Hyperlink"/>
                <w:noProof/>
              </w:rPr>
              <w:t>3.</w:t>
            </w:r>
            <w:r w:rsidR="00CD0AF8">
              <w:rPr>
                <w:rFonts w:eastAsiaTheme="minorEastAsia" w:cstheme="minorBidi"/>
                <w:b w:val="0"/>
                <w:bCs w:val="0"/>
                <w:noProof/>
                <w:sz w:val="22"/>
                <w:szCs w:val="22"/>
              </w:rPr>
              <w:tab/>
            </w:r>
            <w:r w:rsidR="00CD0AF8" w:rsidRPr="009C0A3A">
              <w:rPr>
                <w:rStyle w:val="Hyperlink"/>
                <w:noProof/>
              </w:rPr>
              <w:t>Continuum of Care Eligible Components</w:t>
            </w:r>
            <w:r w:rsidR="00CD0AF8">
              <w:rPr>
                <w:noProof/>
                <w:webHidden/>
              </w:rPr>
              <w:tab/>
            </w:r>
            <w:r w:rsidR="00CD0AF8">
              <w:rPr>
                <w:noProof/>
                <w:webHidden/>
              </w:rPr>
              <w:fldChar w:fldCharType="begin"/>
            </w:r>
            <w:r w:rsidR="00CD0AF8">
              <w:rPr>
                <w:noProof/>
                <w:webHidden/>
              </w:rPr>
              <w:instrText xml:space="preserve"> PAGEREF _Toc124255103 \h </w:instrText>
            </w:r>
            <w:r w:rsidR="00CD0AF8">
              <w:rPr>
                <w:noProof/>
                <w:webHidden/>
              </w:rPr>
            </w:r>
            <w:r w:rsidR="00CD0AF8">
              <w:rPr>
                <w:noProof/>
                <w:webHidden/>
              </w:rPr>
              <w:fldChar w:fldCharType="separate"/>
            </w:r>
            <w:r w:rsidR="00CD0AF8">
              <w:rPr>
                <w:noProof/>
                <w:webHidden/>
              </w:rPr>
              <w:t>125</w:t>
            </w:r>
            <w:r w:rsidR="00CD0AF8">
              <w:rPr>
                <w:noProof/>
                <w:webHidden/>
              </w:rPr>
              <w:fldChar w:fldCharType="end"/>
            </w:r>
          </w:hyperlink>
        </w:p>
        <w:p w14:paraId="090DCE6F" w14:textId="03C95F9E"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104" w:history="1">
            <w:r w:rsidR="00CD0AF8" w:rsidRPr="009C0A3A">
              <w:rPr>
                <w:rStyle w:val="Hyperlink"/>
                <w:noProof/>
              </w:rPr>
              <w:t>B.</w:t>
            </w:r>
            <w:r w:rsidR="00CD0AF8">
              <w:rPr>
                <w:rFonts w:eastAsiaTheme="minorEastAsia" w:cstheme="minorBidi"/>
                <w:b w:val="0"/>
                <w:bCs w:val="0"/>
                <w:noProof/>
                <w:sz w:val="22"/>
                <w:szCs w:val="22"/>
              </w:rPr>
              <w:tab/>
            </w:r>
            <w:r w:rsidR="00CD0AF8" w:rsidRPr="009C0A3A">
              <w:rPr>
                <w:rStyle w:val="Hyperlink"/>
                <w:noProof/>
              </w:rPr>
              <w:t>HUD Definitions of Homelessness</w:t>
            </w:r>
            <w:r w:rsidR="00CD0AF8">
              <w:rPr>
                <w:noProof/>
                <w:webHidden/>
              </w:rPr>
              <w:tab/>
            </w:r>
            <w:r w:rsidR="00CD0AF8">
              <w:rPr>
                <w:noProof/>
                <w:webHidden/>
              </w:rPr>
              <w:fldChar w:fldCharType="begin"/>
            </w:r>
            <w:r w:rsidR="00CD0AF8">
              <w:rPr>
                <w:noProof/>
                <w:webHidden/>
              </w:rPr>
              <w:instrText xml:space="preserve"> PAGEREF _Toc124255104 \h </w:instrText>
            </w:r>
            <w:r w:rsidR="00CD0AF8">
              <w:rPr>
                <w:noProof/>
                <w:webHidden/>
              </w:rPr>
            </w:r>
            <w:r w:rsidR="00CD0AF8">
              <w:rPr>
                <w:noProof/>
                <w:webHidden/>
              </w:rPr>
              <w:fldChar w:fldCharType="separate"/>
            </w:r>
            <w:r w:rsidR="00CD0AF8">
              <w:rPr>
                <w:noProof/>
                <w:webHidden/>
              </w:rPr>
              <w:t>129</w:t>
            </w:r>
            <w:r w:rsidR="00CD0AF8">
              <w:rPr>
                <w:noProof/>
                <w:webHidden/>
              </w:rPr>
              <w:fldChar w:fldCharType="end"/>
            </w:r>
          </w:hyperlink>
        </w:p>
        <w:p w14:paraId="71B530BE" w14:textId="4CE09B4D"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105" w:history="1">
            <w:r w:rsidR="00CD0AF8" w:rsidRPr="009C0A3A">
              <w:rPr>
                <w:rStyle w:val="Hyperlink"/>
                <w:noProof/>
              </w:rPr>
              <w:t>C.</w:t>
            </w:r>
            <w:r w:rsidR="00CD0AF8">
              <w:rPr>
                <w:rFonts w:eastAsiaTheme="minorEastAsia" w:cstheme="minorBidi"/>
                <w:b w:val="0"/>
                <w:bCs w:val="0"/>
                <w:noProof/>
                <w:sz w:val="22"/>
                <w:szCs w:val="22"/>
              </w:rPr>
              <w:tab/>
            </w:r>
            <w:r w:rsidR="00CD0AF8" w:rsidRPr="009C0A3A">
              <w:rPr>
                <w:rStyle w:val="Hyperlink"/>
                <w:noProof/>
              </w:rPr>
              <w:t>HUD Record Keeping Requirements</w:t>
            </w:r>
            <w:r w:rsidR="00CD0AF8">
              <w:rPr>
                <w:noProof/>
                <w:webHidden/>
              </w:rPr>
              <w:tab/>
            </w:r>
            <w:r w:rsidR="00CD0AF8">
              <w:rPr>
                <w:noProof/>
                <w:webHidden/>
              </w:rPr>
              <w:fldChar w:fldCharType="begin"/>
            </w:r>
            <w:r w:rsidR="00CD0AF8">
              <w:rPr>
                <w:noProof/>
                <w:webHidden/>
              </w:rPr>
              <w:instrText xml:space="preserve"> PAGEREF _Toc124255105 \h </w:instrText>
            </w:r>
            <w:r w:rsidR="00CD0AF8">
              <w:rPr>
                <w:noProof/>
                <w:webHidden/>
              </w:rPr>
            </w:r>
            <w:r w:rsidR="00CD0AF8">
              <w:rPr>
                <w:noProof/>
                <w:webHidden/>
              </w:rPr>
              <w:fldChar w:fldCharType="separate"/>
            </w:r>
            <w:r w:rsidR="00CD0AF8">
              <w:rPr>
                <w:noProof/>
                <w:webHidden/>
              </w:rPr>
              <w:t>129</w:t>
            </w:r>
            <w:r w:rsidR="00CD0AF8">
              <w:rPr>
                <w:noProof/>
                <w:webHidden/>
              </w:rPr>
              <w:fldChar w:fldCharType="end"/>
            </w:r>
          </w:hyperlink>
        </w:p>
        <w:p w14:paraId="4F1BE09C" w14:textId="7F9E8EF4"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106" w:history="1">
            <w:r w:rsidR="00CD0AF8" w:rsidRPr="009C0A3A">
              <w:rPr>
                <w:rStyle w:val="Hyperlink"/>
                <w:noProof/>
              </w:rPr>
              <w:t>D.</w:t>
            </w:r>
            <w:r w:rsidR="00CD0AF8">
              <w:rPr>
                <w:rFonts w:eastAsiaTheme="minorEastAsia" w:cstheme="minorBidi"/>
                <w:b w:val="0"/>
                <w:bCs w:val="0"/>
                <w:noProof/>
                <w:sz w:val="22"/>
                <w:szCs w:val="22"/>
              </w:rPr>
              <w:tab/>
            </w:r>
            <w:r w:rsidR="00CD0AF8" w:rsidRPr="009C0A3A">
              <w:rPr>
                <w:rStyle w:val="Hyperlink"/>
                <w:noProof/>
              </w:rPr>
              <w:t>Eligibility By Component</w:t>
            </w:r>
            <w:r w:rsidR="00CD0AF8">
              <w:rPr>
                <w:noProof/>
                <w:webHidden/>
              </w:rPr>
              <w:tab/>
            </w:r>
            <w:r w:rsidR="00CD0AF8">
              <w:rPr>
                <w:noProof/>
                <w:webHidden/>
              </w:rPr>
              <w:fldChar w:fldCharType="begin"/>
            </w:r>
            <w:r w:rsidR="00CD0AF8">
              <w:rPr>
                <w:noProof/>
                <w:webHidden/>
              </w:rPr>
              <w:instrText xml:space="preserve"> PAGEREF _Toc124255106 \h </w:instrText>
            </w:r>
            <w:r w:rsidR="00CD0AF8">
              <w:rPr>
                <w:noProof/>
                <w:webHidden/>
              </w:rPr>
            </w:r>
            <w:r w:rsidR="00CD0AF8">
              <w:rPr>
                <w:noProof/>
                <w:webHidden/>
              </w:rPr>
              <w:fldChar w:fldCharType="separate"/>
            </w:r>
            <w:r w:rsidR="00CD0AF8">
              <w:rPr>
                <w:noProof/>
                <w:webHidden/>
              </w:rPr>
              <w:t>131</w:t>
            </w:r>
            <w:r w:rsidR="00CD0AF8">
              <w:rPr>
                <w:noProof/>
                <w:webHidden/>
              </w:rPr>
              <w:fldChar w:fldCharType="end"/>
            </w:r>
          </w:hyperlink>
        </w:p>
        <w:p w14:paraId="7B84969C" w14:textId="42D4BF1E"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107" w:history="1">
            <w:r w:rsidR="00CD0AF8" w:rsidRPr="009C0A3A">
              <w:rPr>
                <w:rStyle w:val="Hyperlink"/>
                <w:noProof/>
              </w:rPr>
              <w:t>E.</w:t>
            </w:r>
            <w:r w:rsidR="00CD0AF8">
              <w:rPr>
                <w:rFonts w:eastAsiaTheme="minorEastAsia" w:cstheme="minorBidi"/>
                <w:b w:val="0"/>
                <w:bCs w:val="0"/>
                <w:noProof/>
                <w:sz w:val="22"/>
                <w:szCs w:val="22"/>
              </w:rPr>
              <w:tab/>
            </w:r>
            <w:r w:rsidR="00CD0AF8" w:rsidRPr="009C0A3A">
              <w:rPr>
                <w:rStyle w:val="Hyperlink"/>
                <w:noProof/>
              </w:rPr>
              <w:t>Documentation for Chronic Homelessness</w:t>
            </w:r>
            <w:r w:rsidR="00CD0AF8">
              <w:rPr>
                <w:noProof/>
                <w:webHidden/>
              </w:rPr>
              <w:tab/>
            </w:r>
            <w:r w:rsidR="00CD0AF8">
              <w:rPr>
                <w:noProof/>
                <w:webHidden/>
              </w:rPr>
              <w:fldChar w:fldCharType="begin"/>
            </w:r>
            <w:r w:rsidR="00CD0AF8">
              <w:rPr>
                <w:noProof/>
                <w:webHidden/>
              </w:rPr>
              <w:instrText xml:space="preserve"> PAGEREF _Toc124255107 \h </w:instrText>
            </w:r>
            <w:r w:rsidR="00CD0AF8">
              <w:rPr>
                <w:noProof/>
                <w:webHidden/>
              </w:rPr>
            </w:r>
            <w:r w:rsidR="00CD0AF8">
              <w:rPr>
                <w:noProof/>
                <w:webHidden/>
              </w:rPr>
              <w:fldChar w:fldCharType="separate"/>
            </w:r>
            <w:r w:rsidR="00CD0AF8">
              <w:rPr>
                <w:noProof/>
                <w:webHidden/>
              </w:rPr>
              <w:t>132</w:t>
            </w:r>
            <w:r w:rsidR="00CD0AF8">
              <w:rPr>
                <w:noProof/>
                <w:webHidden/>
              </w:rPr>
              <w:fldChar w:fldCharType="end"/>
            </w:r>
          </w:hyperlink>
        </w:p>
        <w:p w14:paraId="2892EBFD" w14:textId="68601C71" w:rsidR="00CD0AF8" w:rsidRDefault="00000000">
          <w:pPr>
            <w:pStyle w:val="TOC2"/>
            <w:tabs>
              <w:tab w:val="left" w:pos="660"/>
              <w:tab w:val="right" w:leader="dot" w:pos="12950"/>
            </w:tabs>
            <w:rPr>
              <w:rFonts w:eastAsiaTheme="minorEastAsia" w:cstheme="minorBidi"/>
              <w:b w:val="0"/>
              <w:bCs w:val="0"/>
              <w:noProof/>
              <w:sz w:val="22"/>
              <w:szCs w:val="22"/>
            </w:rPr>
          </w:pPr>
          <w:hyperlink w:anchor="_Toc124255108" w:history="1">
            <w:r w:rsidR="00CD0AF8" w:rsidRPr="009C0A3A">
              <w:rPr>
                <w:rStyle w:val="Hyperlink"/>
                <w:noProof/>
              </w:rPr>
              <w:t>F.</w:t>
            </w:r>
            <w:r w:rsidR="00CD0AF8">
              <w:rPr>
                <w:rFonts w:eastAsiaTheme="minorEastAsia" w:cstheme="minorBidi"/>
                <w:b w:val="0"/>
                <w:bCs w:val="0"/>
                <w:noProof/>
                <w:sz w:val="22"/>
                <w:szCs w:val="22"/>
              </w:rPr>
              <w:tab/>
            </w:r>
            <w:r w:rsidR="00CD0AF8" w:rsidRPr="009C0A3A">
              <w:rPr>
                <w:rStyle w:val="Hyperlink"/>
                <w:noProof/>
              </w:rPr>
              <w:t>Rapid Rehousing/Homeless Prevention Quick Reference Sheet</w:t>
            </w:r>
            <w:r w:rsidR="00CD0AF8">
              <w:rPr>
                <w:noProof/>
                <w:webHidden/>
              </w:rPr>
              <w:tab/>
            </w:r>
            <w:r w:rsidR="00CD0AF8">
              <w:rPr>
                <w:noProof/>
                <w:webHidden/>
              </w:rPr>
              <w:fldChar w:fldCharType="begin"/>
            </w:r>
            <w:r w:rsidR="00CD0AF8">
              <w:rPr>
                <w:noProof/>
                <w:webHidden/>
              </w:rPr>
              <w:instrText xml:space="preserve"> PAGEREF _Toc124255108 \h </w:instrText>
            </w:r>
            <w:r w:rsidR="00CD0AF8">
              <w:rPr>
                <w:noProof/>
                <w:webHidden/>
              </w:rPr>
            </w:r>
            <w:r w:rsidR="00CD0AF8">
              <w:rPr>
                <w:noProof/>
                <w:webHidden/>
              </w:rPr>
              <w:fldChar w:fldCharType="separate"/>
            </w:r>
            <w:r w:rsidR="00CD0AF8">
              <w:rPr>
                <w:noProof/>
                <w:webHidden/>
              </w:rPr>
              <w:t>134</w:t>
            </w:r>
            <w:r w:rsidR="00CD0AF8">
              <w:rPr>
                <w:noProof/>
                <w:webHidden/>
              </w:rPr>
              <w:fldChar w:fldCharType="end"/>
            </w:r>
          </w:hyperlink>
        </w:p>
        <w:p w14:paraId="36BC4646" w14:textId="27741291" w:rsidR="00E62680" w:rsidRPr="0074753C" w:rsidRDefault="005A0E11" w:rsidP="0074753C">
          <w:pPr>
            <w:contextualSpacing/>
            <w:rPr>
              <w:rFonts w:ascii="Calibri" w:hAnsi="Calibri" w:cs="Calibri"/>
              <w:b/>
              <w:bCs/>
              <w:i/>
              <w:iCs/>
              <w:color w:val="000000" w:themeColor="text1"/>
            </w:rPr>
            <w:sectPr w:rsidR="00E62680" w:rsidRPr="0074753C" w:rsidSect="0041284A">
              <w:footerReference w:type="even" r:id="rId10"/>
              <w:footerReference w:type="default" r:id="rId11"/>
              <w:pgSz w:w="15840" w:h="12240" w:orient="landscape"/>
              <w:pgMar w:top="1440" w:right="1440" w:bottom="1440" w:left="1440" w:header="720" w:footer="720" w:gutter="0"/>
              <w:pgNumType w:start="0"/>
              <w:cols w:space="720"/>
              <w:titlePg/>
              <w:docGrid w:linePitch="360"/>
            </w:sectPr>
          </w:pPr>
          <w:r>
            <w:rPr>
              <w:rFonts w:ascii="Calibri" w:hAnsi="Calibri" w:cs="Calibri"/>
              <w:b/>
              <w:bCs/>
              <w:i/>
              <w:iCs/>
              <w:color w:val="000000" w:themeColor="text1"/>
            </w:rPr>
            <w:fldChar w:fldCharType="end"/>
          </w:r>
        </w:p>
      </w:sdtContent>
    </w:sdt>
    <w:p w14:paraId="35090514" w14:textId="77777777" w:rsidR="00A76818" w:rsidRDefault="00A76818" w:rsidP="00FC037D"/>
    <w:p w14:paraId="60BE86D4" w14:textId="77777777" w:rsidR="005C1958" w:rsidRDefault="005C1958" w:rsidP="00FC037D"/>
    <w:p w14:paraId="378C437C" w14:textId="77777777" w:rsidR="005C1958" w:rsidRDefault="005C1958" w:rsidP="00FC037D"/>
    <w:p w14:paraId="43D6918E" w14:textId="77777777" w:rsidR="005C1958" w:rsidRDefault="005C1958" w:rsidP="00FC037D"/>
    <w:p w14:paraId="6435AE86" w14:textId="77777777" w:rsidR="005C1958" w:rsidRDefault="005C1958" w:rsidP="00FC037D"/>
    <w:p w14:paraId="7F4B22D7" w14:textId="77777777" w:rsidR="005C1958" w:rsidRDefault="005C1958" w:rsidP="00FC037D"/>
    <w:p w14:paraId="79EAA710" w14:textId="77777777" w:rsidR="005C1958" w:rsidRDefault="005C1958" w:rsidP="00FC037D"/>
    <w:p w14:paraId="46B0D66B" w14:textId="77777777" w:rsidR="005C1958" w:rsidRDefault="005C1958" w:rsidP="00FC037D"/>
    <w:p w14:paraId="745EF670" w14:textId="77777777" w:rsidR="005C1958" w:rsidRDefault="005C1958" w:rsidP="00FC037D"/>
    <w:p w14:paraId="61B04F19" w14:textId="77777777" w:rsidR="005C1958" w:rsidRDefault="005C1958" w:rsidP="00FC037D"/>
    <w:p w14:paraId="37C7548B" w14:textId="77777777" w:rsidR="005C1958" w:rsidRDefault="005C1958" w:rsidP="00FC037D"/>
    <w:p w14:paraId="13D4BFC4" w14:textId="77777777" w:rsidR="005C1958" w:rsidRDefault="005C1958" w:rsidP="00FC037D"/>
    <w:p w14:paraId="5DBAD3C7" w14:textId="77777777" w:rsidR="005C1958" w:rsidRDefault="005C1958" w:rsidP="00FC037D"/>
    <w:p w14:paraId="41465463" w14:textId="77777777" w:rsidR="005C1958" w:rsidRDefault="005C1958" w:rsidP="00FC037D"/>
    <w:p w14:paraId="672E45FD" w14:textId="77777777" w:rsidR="005C1958" w:rsidRDefault="005C1958" w:rsidP="00FC037D"/>
    <w:p w14:paraId="32AE17EA" w14:textId="77777777" w:rsidR="005C1958" w:rsidRDefault="005C1958" w:rsidP="00FC037D"/>
    <w:p w14:paraId="127DED33" w14:textId="77777777" w:rsidR="005C1958" w:rsidRDefault="005C1958" w:rsidP="00FC037D"/>
    <w:p w14:paraId="44B557EB" w14:textId="77777777" w:rsidR="005C1958" w:rsidRDefault="005C1958" w:rsidP="00FC037D"/>
    <w:p w14:paraId="012A9B57" w14:textId="77777777" w:rsidR="00734135" w:rsidRDefault="00734135">
      <w:pPr>
        <w:spacing w:after="200" w:line="276" w:lineRule="auto"/>
        <w:rPr>
          <w:smallCaps/>
          <w:color w:val="F19416"/>
          <w:spacing w:val="5"/>
          <w:sz w:val="32"/>
          <w:szCs w:val="32"/>
        </w:rPr>
      </w:pPr>
      <w:r>
        <w:br w:type="page"/>
      </w:r>
    </w:p>
    <w:p w14:paraId="57D9C764" w14:textId="50D11BF6" w:rsidR="007016AE" w:rsidRPr="004B7B0B" w:rsidRDefault="007016AE" w:rsidP="000604EE">
      <w:pPr>
        <w:pStyle w:val="Heading1"/>
        <w:rPr>
          <w:b/>
          <w:bCs/>
          <w:color w:val="0070C0"/>
        </w:rPr>
      </w:pPr>
      <w:bookmarkStart w:id="0" w:name="_Toc124254966"/>
      <w:r w:rsidRPr="004B7B0B">
        <w:rPr>
          <w:b/>
          <w:bCs/>
          <w:color w:val="0070C0"/>
        </w:rPr>
        <w:lastRenderedPageBreak/>
        <w:t>Introduction</w:t>
      </w:r>
      <w:bookmarkEnd w:id="0"/>
      <w:r w:rsidRPr="004B7B0B">
        <w:rPr>
          <w:b/>
          <w:bCs/>
          <w:color w:val="0070C0"/>
        </w:rPr>
        <w:t xml:space="preserve"> </w:t>
      </w:r>
    </w:p>
    <w:p w14:paraId="5448CF72" w14:textId="73FB3064" w:rsidR="007016AE" w:rsidRPr="00A76818" w:rsidRDefault="00B11889" w:rsidP="000604EE">
      <w:pPr>
        <w:contextualSpacing/>
        <w:rPr>
          <w:rFonts w:ascii="Calibri" w:hAnsi="Calibri" w:cs="Calibri"/>
          <w:color w:val="000000" w:themeColor="text1"/>
        </w:rPr>
      </w:pPr>
      <w:r w:rsidRPr="00D170AD">
        <w:rPr>
          <w:rFonts w:ascii="Calibri" w:hAnsi="Calibri" w:cs="Calibri"/>
          <w:color w:val="000000" w:themeColor="text1"/>
          <w:highlight w:val="yellow"/>
        </w:rPr>
        <w:t>This document</w:t>
      </w:r>
      <w:r w:rsidR="007016AE" w:rsidRPr="00D170AD">
        <w:rPr>
          <w:rFonts w:ascii="Calibri" w:hAnsi="Calibri" w:cs="Calibri"/>
          <w:color w:val="000000" w:themeColor="text1"/>
          <w:highlight w:val="yellow"/>
        </w:rPr>
        <w:t xml:space="preserve"> outline</w:t>
      </w:r>
      <w:r w:rsidRPr="00D170AD">
        <w:rPr>
          <w:rFonts w:ascii="Calibri" w:hAnsi="Calibri" w:cs="Calibri"/>
          <w:color w:val="000000" w:themeColor="text1"/>
          <w:highlight w:val="yellow"/>
        </w:rPr>
        <w:t>s</w:t>
      </w:r>
      <w:r w:rsidR="007016AE" w:rsidRPr="00D170AD">
        <w:rPr>
          <w:rFonts w:ascii="Calibri" w:hAnsi="Calibri" w:cs="Calibri"/>
          <w:color w:val="000000" w:themeColor="text1"/>
          <w:highlight w:val="yellow"/>
        </w:rPr>
        <w:t xml:space="preserve"> the requirements for HUD Continuum of Care (CoC)</w:t>
      </w:r>
      <w:r w:rsidR="00D170AD" w:rsidRPr="00D170AD">
        <w:rPr>
          <w:rFonts w:ascii="Calibri" w:hAnsi="Calibri" w:cs="Calibri"/>
          <w:color w:val="000000" w:themeColor="text1"/>
          <w:highlight w:val="yellow"/>
        </w:rPr>
        <w:t xml:space="preserve">, </w:t>
      </w:r>
      <w:r w:rsidR="007016AE" w:rsidRPr="00D170AD">
        <w:rPr>
          <w:rFonts w:ascii="Calibri" w:hAnsi="Calibri" w:cs="Calibri"/>
          <w:color w:val="000000" w:themeColor="text1"/>
          <w:highlight w:val="yellow"/>
        </w:rPr>
        <w:t>Emergency Solutions Grant (ESG)</w:t>
      </w:r>
      <w:r w:rsidR="00D170AD" w:rsidRPr="00D170AD">
        <w:rPr>
          <w:rFonts w:ascii="Calibri" w:hAnsi="Calibri" w:cs="Calibri"/>
          <w:color w:val="000000" w:themeColor="text1"/>
          <w:highlight w:val="yellow"/>
        </w:rPr>
        <w:t xml:space="preserve">, and Homeless Housing Assistance and Prevention (HHAP) </w:t>
      </w:r>
      <w:r w:rsidR="007016AE" w:rsidRPr="00D170AD">
        <w:rPr>
          <w:rFonts w:ascii="Calibri" w:hAnsi="Calibri" w:cs="Calibri"/>
          <w:color w:val="000000" w:themeColor="text1"/>
          <w:highlight w:val="yellow"/>
        </w:rPr>
        <w:t>funding recipients (“service providers”)</w:t>
      </w:r>
      <w:r w:rsidRPr="00D170AD">
        <w:rPr>
          <w:rFonts w:ascii="Calibri" w:hAnsi="Calibri" w:cs="Calibri"/>
          <w:color w:val="000000" w:themeColor="text1"/>
          <w:highlight w:val="yellow"/>
        </w:rPr>
        <w:t xml:space="preserve">. </w:t>
      </w:r>
      <w:r w:rsidR="007016AE" w:rsidRPr="00D170AD">
        <w:rPr>
          <w:rFonts w:ascii="Calibri" w:hAnsi="Calibri" w:cs="Calibri"/>
          <w:color w:val="000000" w:themeColor="text1"/>
          <w:highlight w:val="yellow"/>
        </w:rPr>
        <w:t xml:space="preserve">In </w:t>
      </w:r>
      <w:r w:rsidRPr="00D170AD">
        <w:rPr>
          <w:rFonts w:ascii="Calibri" w:hAnsi="Calibri" w:cs="Calibri"/>
          <w:color w:val="000000" w:themeColor="text1"/>
          <w:highlight w:val="yellow"/>
        </w:rPr>
        <w:t xml:space="preserve">the </w:t>
      </w:r>
      <w:r w:rsidR="007016AE" w:rsidRPr="00D170AD">
        <w:rPr>
          <w:rFonts w:ascii="Calibri" w:hAnsi="Calibri" w:cs="Calibri"/>
          <w:color w:val="000000" w:themeColor="text1"/>
          <w:highlight w:val="yellow"/>
        </w:rPr>
        <w:t>Central Sierra</w:t>
      </w:r>
      <w:r w:rsidRPr="00D170AD">
        <w:rPr>
          <w:rFonts w:ascii="Calibri" w:hAnsi="Calibri" w:cs="Calibri"/>
          <w:color w:val="000000" w:themeColor="text1"/>
          <w:highlight w:val="yellow"/>
        </w:rPr>
        <w:t xml:space="preserve"> Continuum of Care (CSCoC)</w:t>
      </w:r>
      <w:r w:rsidR="007016AE" w:rsidRPr="00D170AD">
        <w:rPr>
          <w:rFonts w:ascii="Calibri" w:hAnsi="Calibri" w:cs="Calibri"/>
          <w:color w:val="000000" w:themeColor="text1"/>
          <w:highlight w:val="yellow"/>
        </w:rPr>
        <w:t>, CoC funding supports permanent supportive housing and rapid re-housing, ESG funding supports emergency shelter</w:t>
      </w:r>
      <w:r w:rsidR="009D0651" w:rsidRPr="00D170AD">
        <w:rPr>
          <w:rFonts w:ascii="Calibri" w:hAnsi="Calibri" w:cs="Calibri"/>
          <w:color w:val="000000" w:themeColor="text1"/>
          <w:highlight w:val="yellow"/>
        </w:rPr>
        <w:t xml:space="preserve">, homeless prevention, and </w:t>
      </w:r>
      <w:r w:rsidR="007016AE" w:rsidRPr="00D170AD">
        <w:rPr>
          <w:rFonts w:ascii="Calibri" w:hAnsi="Calibri" w:cs="Calibri"/>
          <w:color w:val="000000" w:themeColor="text1"/>
          <w:highlight w:val="yellow"/>
        </w:rPr>
        <w:t>rapid re-housing</w:t>
      </w:r>
      <w:r w:rsidR="00D170AD" w:rsidRPr="00D170AD">
        <w:rPr>
          <w:rFonts w:ascii="Calibri" w:hAnsi="Calibri" w:cs="Calibri"/>
          <w:color w:val="000000" w:themeColor="text1"/>
          <w:highlight w:val="yellow"/>
        </w:rPr>
        <w:t>, and HHAP funding supports permanent, interim and emergency housing as well as street outreach</w:t>
      </w:r>
      <w:r w:rsidR="007016AE" w:rsidRPr="00D170AD">
        <w:rPr>
          <w:rFonts w:ascii="Calibri" w:hAnsi="Calibri" w:cs="Calibri"/>
          <w:color w:val="000000" w:themeColor="text1"/>
          <w:highlight w:val="yellow"/>
        </w:rPr>
        <w:t>.</w:t>
      </w:r>
      <w:r w:rsidR="0029506D" w:rsidRPr="00D170AD">
        <w:rPr>
          <w:rFonts w:ascii="Calibri" w:hAnsi="Calibri" w:cs="Calibri"/>
          <w:color w:val="000000" w:themeColor="text1"/>
          <w:highlight w:val="yellow"/>
        </w:rPr>
        <w:t xml:space="preserve"> </w:t>
      </w:r>
      <w:r w:rsidRPr="00D170AD">
        <w:rPr>
          <w:rFonts w:ascii="Calibri" w:hAnsi="Calibri" w:cs="Calibri"/>
          <w:color w:val="000000" w:themeColor="text1"/>
          <w:highlight w:val="yellow"/>
        </w:rPr>
        <w:t>This document aggregates HUD guidance around these program types, as well as local requirements and priorities, to create a comprehensive guide to the rules and regulations attached to each of the ESG and CoC project types in the CSCoC.</w:t>
      </w:r>
      <w:r w:rsidRPr="00A76818">
        <w:rPr>
          <w:rFonts w:ascii="Calibri" w:hAnsi="Calibri" w:cs="Calibri"/>
          <w:color w:val="000000" w:themeColor="text1"/>
        </w:rPr>
        <w:t xml:space="preserve"> </w:t>
      </w:r>
    </w:p>
    <w:p w14:paraId="5D08CCD9" w14:textId="77777777" w:rsidR="000A7560" w:rsidRPr="00A76818" w:rsidRDefault="000A7560" w:rsidP="000604EE">
      <w:pPr>
        <w:contextualSpacing/>
        <w:rPr>
          <w:rFonts w:ascii="Calibri" w:hAnsi="Calibri" w:cs="Calibri"/>
          <w:color w:val="000000" w:themeColor="text1"/>
        </w:rPr>
      </w:pPr>
    </w:p>
    <w:p w14:paraId="44349762" w14:textId="389946A9" w:rsidR="007016AE" w:rsidRPr="00A76818" w:rsidRDefault="007016AE" w:rsidP="000604EE">
      <w:pPr>
        <w:contextualSpacing/>
        <w:rPr>
          <w:rFonts w:ascii="Calibri" w:hAnsi="Calibri" w:cs="Calibri"/>
          <w:color w:val="000000" w:themeColor="text1"/>
        </w:rPr>
      </w:pPr>
      <w:r w:rsidRPr="00A76818">
        <w:rPr>
          <w:rFonts w:ascii="Calibri" w:hAnsi="Calibri" w:cs="Calibri"/>
          <w:color w:val="000000" w:themeColor="text1"/>
        </w:rPr>
        <w:t xml:space="preserve">Standards for </w:t>
      </w:r>
      <w:r w:rsidR="0003027D" w:rsidRPr="00A76818">
        <w:rPr>
          <w:rFonts w:ascii="Calibri" w:hAnsi="Calibri" w:cs="Calibri"/>
          <w:color w:val="000000" w:themeColor="text1"/>
        </w:rPr>
        <w:t xml:space="preserve">the state of California’s </w:t>
      </w:r>
      <w:r w:rsidRPr="00A76818">
        <w:rPr>
          <w:rFonts w:ascii="Calibri" w:hAnsi="Calibri" w:cs="Calibri"/>
          <w:color w:val="000000" w:themeColor="text1"/>
        </w:rPr>
        <w:t xml:space="preserve">one-time </w:t>
      </w:r>
      <w:r w:rsidR="0003027D" w:rsidRPr="00A76818">
        <w:rPr>
          <w:rFonts w:ascii="Calibri" w:hAnsi="Calibri" w:cs="Calibri"/>
          <w:color w:val="000000" w:themeColor="text1"/>
        </w:rPr>
        <w:t>California Emergency Solutions and Housing (</w:t>
      </w:r>
      <w:r w:rsidRPr="00A76818">
        <w:rPr>
          <w:rFonts w:ascii="Calibri" w:hAnsi="Calibri" w:cs="Calibri"/>
          <w:color w:val="000000" w:themeColor="text1"/>
        </w:rPr>
        <w:t>CESH</w:t>
      </w:r>
      <w:r w:rsidR="0003027D" w:rsidRPr="00A76818">
        <w:rPr>
          <w:rFonts w:ascii="Calibri" w:hAnsi="Calibri" w:cs="Calibri"/>
          <w:color w:val="000000" w:themeColor="text1"/>
        </w:rPr>
        <w:t>)</w:t>
      </w:r>
      <w:r w:rsidR="000A15F8">
        <w:rPr>
          <w:rFonts w:ascii="Calibri" w:hAnsi="Calibri" w:cs="Calibri"/>
          <w:color w:val="000000" w:themeColor="text1"/>
        </w:rPr>
        <w:t xml:space="preserve">, </w:t>
      </w:r>
      <w:r w:rsidR="0003027D" w:rsidRPr="00A76818">
        <w:rPr>
          <w:rFonts w:ascii="Calibri" w:hAnsi="Calibri" w:cs="Calibri"/>
          <w:color w:val="000000" w:themeColor="text1"/>
        </w:rPr>
        <w:t>Homeless Emergency Aid Program (</w:t>
      </w:r>
      <w:r w:rsidRPr="00A76818">
        <w:rPr>
          <w:rFonts w:ascii="Calibri" w:hAnsi="Calibri" w:cs="Calibri"/>
          <w:color w:val="000000" w:themeColor="text1"/>
        </w:rPr>
        <w:t>HEAP</w:t>
      </w:r>
      <w:r w:rsidR="0003027D" w:rsidRPr="00A76818">
        <w:rPr>
          <w:rFonts w:ascii="Calibri" w:hAnsi="Calibri" w:cs="Calibri"/>
          <w:color w:val="000000" w:themeColor="text1"/>
        </w:rPr>
        <w:t>)</w:t>
      </w:r>
      <w:r w:rsidR="000A15F8">
        <w:rPr>
          <w:rFonts w:ascii="Calibri" w:hAnsi="Calibri" w:cs="Calibri"/>
          <w:color w:val="000000" w:themeColor="text1"/>
        </w:rPr>
        <w:t xml:space="preserve">, and </w:t>
      </w:r>
      <w:r w:rsidR="00195E5C">
        <w:rPr>
          <w:rFonts w:ascii="Calibri" w:hAnsi="Calibri" w:cs="Calibri"/>
          <w:color w:val="000000" w:themeColor="text1"/>
        </w:rPr>
        <w:t>Homeless Housing, Assistance and Prevention Program (HHAP)</w:t>
      </w:r>
      <w:r w:rsidRPr="00A76818">
        <w:rPr>
          <w:rFonts w:ascii="Calibri" w:hAnsi="Calibri" w:cs="Calibri"/>
          <w:color w:val="000000" w:themeColor="text1"/>
        </w:rPr>
        <w:t xml:space="preserve"> funds can also be found in </w:t>
      </w:r>
      <w:r w:rsidR="0003027D" w:rsidRPr="00A76818">
        <w:rPr>
          <w:rFonts w:ascii="Calibri" w:hAnsi="Calibri" w:cs="Calibri"/>
          <w:color w:val="000000" w:themeColor="text1"/>
        </w:rPr>
        <w:t xml:space="preserve">Appendix </w:t>
      </w:r>
      <w:r w:rsidR="00195E5C">
        <w:rPr>
          <w:rFonts w:ascii="Calibri" w:hAnsi="Calibri" w:cs="Calibri"/>
          <w:color w:val="000000" w:themeColor="text1"/>
        </w:rPr>
        <w:t>A,</w:t>
      </w:r>
      <w:r w:rsidR="0003027D" w:rsidRPr="00A76818">
        <w:rPr>
          <w:rFonts w:ascii="Calibri" w:hAnsi="Calibri" w:cs="Calibri"/>
          <w:color w:val="000000" w:themeColor="text1"/>
        </w:rPr>
        <w:t xml:space="preserve"> </w:t>
      </w:r>
      <w:r w:rsidR="00435D2A" w:rsidRPr="00A76818">
        <w:rPr>
          <w:rFonts w:ascii="Calibri" w:hAnsi="Calibri" w:cs="Calibri"/>
          <w:color w:val="000000" w:themeColor="text1"/>
        </w:rPr>
        <w:t>B</w:t>
      </w:r>
      <w:r w:rsidR="00195E5C">
        <w:rPr>
          <w:rFonts w:ascii="Calibri" w:hAnsi="Calibri" w:cs="Calibri"/>
          <w:color w:val="000000" w:themeColor="text1"/>
        </w:rPr>
        <w:t>, and C</w:t>
      </w:r>
      <w:r w:rsidRPr="00A76818">
        <w:rPr>
          <w:rFonts w:ascii="Calibri" w:hAnsi="Calibri" w:cs="Calibri"/>
          <w:color w:val="000000" w:themeColor="text1"/>
        </w:rPr>
        <w:t xml:space="preserve"> in order to guide</w:t>
      </w:r>
      <w:r w:rsidR="00B11889" w:rsidRPr="00A76818">
        <w:rPr>
          <w:rFonts w:ascii="Calibri" w:hAnsi="Calibri" w:cs="Calibri"/>
          <w:color w:val="000000" w:themeColor="text1"/>
        </w:rPr>
        <w:t xml:space="preserve"> the</w:t>
      </w:r>
      <w:r w:rsidRPr="00A76818">
        <w:rPr>
          <w:rFonts w:ascii="Calibri" w:hAnsi="Calibri" w:cs="Calibri"/>
          <w:color w:val="000000" w:themeColor="text1"/>
        </w:rPr>
        <w:t xml:space="preserve"> </w:t>
      </w:r>
      <w:r w:rsidR="00B11889" w:rsidRPr="00A76818">
        <w:rPr>
          <w:rFonts w:ascii="Calibri" w:hAnsi="Calibri" w:cs="Calibri"/>
          <w:color w:val="000000" w:themeColor="text1"/>
        </w:rPr>
        <w:t>CS</w:t>
      </w:r>
      <w:r w:rsidR="0003027D" w:rsidRPr="00A76818">
        <w:rPr>
          <w:rFonts w:ascii="Calibri" w:hAnsi="Calibri" w:cs="Calibri"/>
          <w:color w:val="000000" w:themeColor="text1"/>
        </w:rPr>
        <w:t xml:space="preserve">CoC </w:t>
      </w:r>
      <w:r w:rsidRPr="00A76818">
        <w:rPr>
          <w:rFonts w:ascii="Calibri" w:hAnsi="Calibri" w:cs="Calibri"/>
          <w:color w:val="000000" w:themeColor="text1"/>
        </w:rPr>
        <w:t xml:space="preserve">distribution </w:t>
      </w:r>
      <w:r w:rsidR="00B11889" w:rsidRPr="00A76818">
        <w:rPr>
          <w:rFonts w:ascii="Calibri" w:hAnsi="Calibri" w:cs="Calibri"/>
          <w:color w:val="000000" w:themeColor="text1"/>
        </w:rPr>
        <w:t xml:space="preserve">process </w:t>
      </w:r>
      <w:r w:rsidRPr="00A76818">
        <w:rPr>
          <w:rFonts w:ascii="Calibri" w:hAnsi="Calibri" w:cs="Calibri"/>
          <w:color w:val="000000" w:themeColor="text1"/>
        </w:rPr>
        <w:t>in the case that the funds are not spent down, as well as to call out the local requirements</w:t>
      </w:r>
      <w:r w:rsidR="0003027D" w:rsidRPr="00A76818">
        <w:rPr>
          <w:rFonts w:ascii="Calibri" w:hAnsi="Calibri" w:cs="Calibri"/>
          <w:color w:val="000000" w:themeColor="text1"/>
        </w:rPr>
        <w:t xml:space="preserve"> </w:t>
      </w:r>
      <w:r w:rsidR="00B11889" w:rsidRPr="00A76818">
        <w:rPr>
          <w:rFonts w:ascii="Calibri" w:hAnsi="Calibri" w:cs="Calibri"/>
          <w:color w:val="000000" w:themeColor="text1"/>
        </w:rPr>
        <w:t>and priority populations.</w:t>
      </w:r>
    </w:p>
    <w:p w14:paraId="3AC2F24B" w14:textId="77777777" w:rsidR="000A7560" w:rsidRPr="00A76818" w:rsidRDefault="000A7560" w:rsidP="000604EE">
      <w:pPr>
        <w:contextualSpacing/>
        <w:rPr>
          <w:rFonts w:ascii="Calibri" w:hAnsi="Calibri" w:cs="Calibri"/>
          <w:color w:val="000000" w:themeColor="text1"/>
        </w:rPr>
      </w:pPr>
    </w:p>
    <w:p w14:paraId="1F907C32" w14:textId="279BF478" w:rsidR="006E66A5" w:rsidRPr="00A76818" w:rsidRDefault="00C777B8" w:rsidP="000604EE">
      <w:pPr>
        <w:contextualSpacing/>
        <w:rPr>
          <w:rFonts w:ascii="Calibri" w:hAnsi="Calibri" w:cs="Calibri"/>
          <w:color w:val="000000" w:themeColor="text1"/>
        </w:rPr>
      </w:pPr>
      <w:r w:rsidRPr="00A76818">
        <w:rPr>
          <w:rFonts w:ascii="Calibri" w:hAnsi="Calibri" w:cs="Calibri"/>
          <w:color w:val="000000" w:themeColor="text1"/>
        </w:rPr>
        <w:t xml:space="preserve">For information about CalWORKs’ Housing Support Program (HSP), APS, MHSA, Home Safe, or other CalWORKs funding, please contact </w:t>
      </w:r>
      <w:r>
        <w:rPr>
          <w:rFonts w:ascii="Calibri" w:hAnsi="Calibri" w:cs="Calibri"/>
          <w:color w:val="000000" w:themeColor="text1"/>
        </w:rPr>
        <w:t>your respective county’s agency:</w:t>
      </w:r>
    </w:p>
    <w:p w14:paraId="6BBC4F36" w14:textId="77777777" w:rsidR="002058A5" w:rsidRPr="00A76818" w:rsidRDefault="002058A5" w:rsidP="000604EE">
      <w:pPr>
        <w:contextualSpacing/>
        <w:rPr>
          <w:rFonts w:ascii="Calibri" w:hAnsi="Calibri" w:cs="Calibri"/>
          <w:color w:val="000000" w:themeColor="text1"/>
        </w:rPr>
      </w:pPr>
    </w:p>
    <w:p w14:paraId="4CCAFA61" w14:textId="77777777" w:rsidR="00A11BB0" w:rsidRPr="00A76818" w:rsidRDefault="007016AE">
      <w:pPr>
        <w:pStyle w:val="ListParagraph"/>
        <w:numPr>
          <w:ilvl w:val="0"/>
          <w:numId w:val="49"/>
        </w:numPr>
        <w:rPr>
          <w:rFonts w:ascii="Calibri" w:hAnsi="Calibri" w:cs="Calibri"/>
          <w:color w:val="000000" w:themeColor="text1"/>
        </w:rPr>
      </w:pPr>
      <w:r w:rsidRPr="00A76818">
        <w:rPr>
          <w:rFonts w:ascii="Calibri" w:hAnsi="Calibri"/>
          <w:color w:val="000000" w:themeColor="text1"/>
        </w:rPr>
        <w:t xml:space="preserve">Amador: </w:t>
      </w:r>
      <w:r w:rsidR="00A11BB0" w:rsidRPr="00A76818">
        <w:rPr>
          <w:rFonts w:ascii="Calibri" w:hAnsi="Calibri"/>
          <w:color w:val="000000" w:themeColor="text1"/>
        </w:rPr>
        <w:t xml:space="preserve">Amador County Social </w:t>
      </w:r>
      <w:r w:rsidR="00A11BB0" w:rsidRPr="00A76818">
        <w:rPr>
          <w:rFonts w:ascii="Calibri" w:hAnsi="Calibri" w:cs="Calibri"/>
          <w:color w:val="000000" w:themeColor="text1"/>
        </w:rPr>
        <w:t>Services,</w:t>
      </w:r>
    </w:p>
    <w:p w14:paraId="3B34B8A2" w14:textId="54394EC2" w:rsidR="007016AE" w:rsidRPr="00A76818" w:rsidRDefault="00000000">
      <w:pPr>
        <w:pStyle w:val="ListParagraph"/>
        <w:numPr>
          <w:ilvl w:val="1"/>
          <w:numId w:val="49"/>
        </w:numPr>
        <w:rPr>
          <w:rFonts w:ascii="Calibri" w:hAnsi="Calibri" w:cs="Calibri"/>
          <w:color w:val="000000" w:themeColor="text1"/>
        </w:rPr>
      </w:pPr>
      <w:hyperlink r:id="rId12" w:history="1">
        <w:r w:rsidR="00A11BB0" w:rsidRPr="00A76818">
          <w:rPr>
            <w:rStyle w:val="Hyperlink"/>
            <w:rFonts w:ascii="Calibri" w:hAnsi="Calibri" w:cs="Calibri"/>
            <w:color w:val="000000" w:themeColor="text1"/>
          </w:rPr>
          <w:t>https://www.amadorgov.org/services/social-</w:t>
        </w:r>
        <w:r w:rsidR="00A11BB0" w:rsidRPr="00A76818">
          <w:rPr>
            <w:rStyle w:val="Hyperlink"/>
            <w:rFonts w:ascii="Calibri" w:hAnsi="Calibri" w:cs="Calibri"/>
            <w:color w:val="000000" w:themeColor="text1"/>
          </w:rPr>
          <w:br/>
          <w:t>services</w:t>
        </w:r>
      </w:hyperlink>
    </w:p>
    <w:p w14:paraId="54B0866F" w14:textId="77777777" w:rsidR="00A11BB0" w:rsidRPr="00A76818" w:rsidRDefault="007016AE">
      <w:pPr>
        <w:pStyle w:val="ListParagraph"/>
        <w:numPr>
          <w:ilvl w:val="0"/>
          <w:numId w:val="49"/>
        </w:numPr>
        <w:rPr>
          <w:color w:val="000000" w:themeColor="text1"/>
        </w:rPr>
      </w:pPr>
      <w:r w:rsidRPr="00A76818">
        <w:rPr>
          <w:rFonts w:ascii="Calibri" w:hAnsi="Calibri"/>
          <w:color w:val="000000" w:themeColor="text1"/>
        </w:rPr>
        <w:t xml:space="preserve">Calaveras: </w:t>
      </w:r>
      <w:r w:rsidR="00A11BB0" w:rsidRPr="00A76818">
        <w:rPr>
          <w:rFonts w:ascii="Calibri" w:hAnsi="Calibri"/>
          <w:color w:val="000000" w:themeColor="text1"/>
        </w:rPr>
        <w:t xml:space="preserve">Calaveras County HHSA, </w:t>
      </w:r>
    </w:p>
    <w:p w14:paraId="7D044CEC" w14:textId="553E1895" w:rsidR="007016AE" w:rsidRPr="00A76818" w:rsidRDefault="00000000">
      <w:pPr>
        <w:pStyle w:val="ListParagraph"/>
        <w:numPr>
          <w:ilvl w:val="1"/>
          <w:numId w:val="49"/>
        </w:numPr>
        <w:rPr>
          <w:color w:val="000000" w:themeColor="text1"/>
        </w:rPr>
      </w:pPr>
      <w:hyperlink r:id="rId13" w:history="1">
        <w:r w:rsidR="00A11BB0" w:rsidRPr="00A76818">
          <w:rPr>
            <w:rStyle w:val="Hyperlink"/>
            <w:rFonts w:ascii="Calibri" w:hAnsi="Calibri"/>
            <w:color w:val="000000" w:themeColor="text1"/>
          </w:rPr>
          <w:t>https://hhsa.calaverasgov.us/Public-Assistance/Eligibility/CalWORKs</w:t>
        </w:r>
      </w:hyperlink>
    </w:p>
    <w:p w14:paraId="5D458B15" w14:textId="77777777" w:rsidR="00A11BB0" w:rsidRPr="00A76818" w:rsidRDefault="007016AE">
      <w:pPr>
        <w:pStyle w:val="ListParagraph"/>
        <w:numPr>
          <w:ilvl w:val="0"/>
          <w:numId w:val="49"/>
        </w:numPr>
        <w:rPr>
          <w:rFonts w:ascii="Calibri" w:hAnsi="Calibri"/>
          <w:color w:val="000000" w:themeColor="text1"/>
        </w:rPr>
      </w:pPr>
      <w:r w:rsidRPr="00A76818">
        <w:rPr>
          <w:rFonts w:ascii="Calibri" w:hAnsi="Calibri"/>
          <w:color w:val="000000" w:themeColor="text1"/>
        </w:rPr>
        <w:t xml:space="preserve">Mariposa: </w:t>
      </w:r>
      <w:r w:rsidR="00A11BB0" w:rsidRPr="00A76818">
        <w:rPr>
          <w:rFonts w:ascii="Calibri" w:hAnsi="Calibri"/>
          <w:color w:val="000000" w:themeColor="text1"/>
        </w:rPr>
        <w:t>Mariposa County HHSA</w:t>
      </w:r>
      <w:r w:rsidR="00A11BB0" w:rsidRPr="00A76818">
        <w:rPr>
          <w:rFonts w:ascii="Calibri" w:hAnsi="Calibri" w:cs="Calibri"/>
          <w:color w:val="000000" w:themeColor="text1"/>
        </w:rPr>
        <w:t xml:space="preserve">, </w:t>
      </w:r>
    </w:p>
    <w:p w14:paraId="0B984CA3" w14:textId="568AAFD0" w:rsidR="00A11BB0" w:rsidRPr="00A76818" w:rsidRDefault="00000000">
      <w:pPr>
        <w:pStyle w:val="ListParagraph"/>
        <w:numPr>
          <w:ilvl w:val="1"/>
          <w:numId w:val="49"/>
        </w:numPr>
        <w:rPr>
          <w:rFonts w:ascii="Calibri" w:hAnsi="Calibri"/>
          <w:color w:val="000000" w:themeColor="text1"/>
        </w:rPr>
      </w:pPr>
      <w:hyperlink r:id="rId14" w:history="1">
        <w:r w:rsidR="00A11BB0" w:rsidRPr="00A76818">
          <w:rPr>
            <w:rStyle w:val="Hyperlink"/>
            <w:rFonts w:ascii="Calibri" w:hAnsi="Calibri" w:cs="Calibri"/>
            <w:color w:val="000000" w:themeColor="text1"/>
          </w:rPr>
          <w:t>https://www.mariposacounty.org/FAQ.aspx?TID=62</w:t>
        </w:r>
      </w:hyperlink>
    </w:p>
    <w:p w14:paraId="68C66669" w14:textId="77777777" w:rsidR="00A11BB0" w:rsidRPr="00A76818" w:rsidRDefault="007016AE">
      <w:pPr>
        <w:pStyle w:val="ListParagraph"/>
        <w:numPr>
          <w:ilvl w:val="0"/>
          <w:numId w:val="49"/>
        </w:numPr>
        <w:rPr>
          <w:rFonts w:ascii="Calibri" w:hAnsi="Calibri"/>
          <w:color w:val="000000" w:themeColor="text1"/>
        </w:rPr>
      </w:pPr>
      <w:r w:rsidRPr="00A76818">
        <w:rPr>
          <w:rFonts w:ascii="Calibri" w:hAnsi="Calibri"/>
          <w:color w:val="000000" w:themeColor="text1"/>
        </w:rPr>
        <w:t xml:space="preserve">Tuolumne: </w:t>
      </w:r>
      <w:r w:rsidR="00A11BB0" w:rsidRPr="00A76818">
        <w:rPr>
          <w:rFonts w:ascii="Calibri" w:hAnsi="Calibri"/>
          <w:color w:val="000000" w:themeColor="text1"/>
        </w:rPr>
        <w:t xml:space="preserve">Tuolumne County Department of Social Services, </w:t>
      </w:r>
    </w:p>
    <w:p w14:paraId="26754506" w14:textId="443A0016" w:rsidR="007016AE" w:rsidRPr="00A76818" w:rsidRDefault="00000000">
      <w:pPr>
        <w:pStyle w:val="ListParagraph"/>
        <w:numPr>
          <w:ilvl w:val="1"/>
          <w:numId w:val="49"/>
        </w:numPr>
        <w:rPr>
          <w:rFonts w:ascii="Calibri" w:hAnsi="Calibri"/>
          <w:color w:val="000000" w:themeColor="text1"/>
        </w:rPr>
      </w:pPr>
      <w:hyperlink r:id="rId15" w:history="1">
        <w:r w:rsidR="00A11BB0" w:rsidRPr="00A76818">
          <w:rPr>
            <w:rStyle w:val="Hyperlink"/>
            <w:rFonts w:ascii="Calibri" w:hAnsi="Calibri"/>
            <w:color w:val="000000" w:themeColor="text1"/>
          </w:rPr>
          <w:t>https://www.tuolumnecounty.ca.gov/294/CalWORKs</w:t>
        </w:r>
      </w:hyperlink>
    </w:p>
    <w:p w14:paraId="63F59362" w14:textId="77777777" w:rsidR="0003027D" w:rsidRPr="00A76818" w:rsidRDefault="0003027D" w:rsidP="000604EE">
      <w:pPr>
        <w:contextualSpacing/>
        <w:rPr>
          <w:rFonts w:ascii="Calibri" w:hAnsi="Calibri" w:cs="Calibri"/>
          <w:color w:val="000000" w:themeColor="text1"/>
        </w:rPr>
      </w:pPr>
    </w:p>
    <w:p w14:paraId="58CA7B04" w14:textId="63DC348C" w:rsidR="005C1958" w:rsidRDefault="006E66A5" w:rsidP="000604EE">
      <w:pPr>
        <w:contextualSpacing/>
        <w:rPr>
          <w:rFonts w:ascii="Calibri" w:hAnsi="Calibri" w:cs="Calibri"/>
          <w:color w:val="000000" w:themeColor="text1"/>
        </w:rPr>
      </w:pPr>
      <w:r w:rsidRPr="00A76818">
        <w:rPr>
          <w:rFonts w:ascii="Calibri" w:hAnsi="Calibri" w:cs="Calibri"/>
          <w:color w:val="000000" w:themeColor="text1"/>
        </w:rPr>
        <w:t>Each service provider is required to have their own policies and procedures, which should be informed and supplemented by the</w:t>
      </w:r>
      <w:r w:rsidR="00195E5C">
        <w:rPr>
          <w:rFonts w:ascii="Calibri" w:hAnsi="Calibri" w:cs="Calibri"/>
          <w:color w:val="000000" w:themeColor="text1"/>
        </w:rPr>
        <w:t xml:space="preserve"> CSCoC community-wide</w:t>
      </w:r>
      <w:r w:rsidRPr="00A76818">
        <w:rPr>
          <w:rFonts w:ascii="Calibri" w:hAnsi="Calibri" w:cs="Calibri"/>
          <w:color w:val="000000" w:themeColor="text1"/>
        </w:rPr>
        <w:t xml:space="preserve"> Written Standards. </w:t>
      </w:r>
      <w:r w:rsidR="002058A5" w:rsidRPr="00A76818">
        <w:rPr>
          <w:rFonts w:ascii="Calibri" w:hAnsi="Calibri" w:cs="Calibri"/>
          <w:color w:val="000000" w:themeColor="text1"/>
        </w:rPr>
        <w:t>For more information about t</w:t>
      </w:r>
      <w:r w:rsidR="00B11889" w:rsidRPr="00A76818">
        <w:rPr>
          <w:rFonts w:ascii="Calibri" w:hAnsi="Calibri" w:cs="Calibri"/>
          <w:color w:val="000000" w:themeColor="text1"/>
        </w:rPr>
        <w:t xml:space="preserve">his document </w:t>
      </w:r>
      <w:r w:rsidR="002058A5" w:rsidRPr="00A76818">
        <w:rPr>
          <w:rFonts w:ascii="Calibri" w:hAnsi="Calibri" w:cs="Calibri"/>
          <w:color w:val="000000" w:themeColor="text1"/>
        </w:rPr>
        <w:t xml:space="preserve">or for </w:t>
      </w:r>
      <w:r w:rsidR="00195E5C">
        <w:rPr>
          <w:rFonts w:ascii="Calibri" w:hAnsi="Calibri" w:cs="Calibri"/>
          <w:color w:val="000000" w:themeColor="text1"/>
        </w:rPr>
        <w:t xml:space="preserve">more </w:t>
      </w:r>
      <w:r w:rsidR="002058A5" w:rsidRPr="00A76818">
        <w:rPr>
          <w:rFonts w:ascii="Calibri" w:hAnsi="Calibri" w:cs="Calibri"/>
          <w:color w:val="000000" w:themeColor="text1"/>
        </w:rPr>
        <w:t xml:space="preserve">information about how to </w:t>
      </w:r>
      <w:r w:rsidR="00B11889" w:rsidRPr="00A76818">
        <w:rPr>
          <w:rFonts w:ascii="Calibri" w:hAnsi="Calibri" w:cs="Calibri"/>
          <w:color w:val="000000" w:themeColor="text1"/>
        </w:rPr>
        <w:t xml:space="preserve">meaningfully </w:t>
      </w:r>
      <w:r w:rsidR="002058A5" w:rsidRPr="00A76818">
        <w:rPr>
          <w:rFonts w:ascii="Calibri" w:hAnsi="Calibri" w:cs="Calibri"/>
          <w:color w:val="000000" w:themeColor="text1"/>
        </w:rPr>
        <w:t xml:space="preserve">integrate the </w:t>
      </w:r>
      <w:r w:rsidR="00195E5C">
        <w:rPr>
          <w:rFonts w:ascii="Calibri" w:hAnsi="Calibri" w:cs="Calibri"/>
          <w:color w:val="000000" w:themeColor="text1"/>
        </w:rPr>
        <w:t xml:space="preserve">CSCoC </w:t>
      </w:r>
      <w:r w:rsidR="002058A5" w:rsidRPr="00A76818">
        <w:rPr>
          <w:rFonts w:ascii="Calibri" w:hAnsi="Calibri" w:cs="Calibri"/>
          <w:color w:val="000000" w:themeColor="text1"/>
        </w:rPr>
        <w:t xml:space="preserve">Written Standards into your </w:t>
      </w:r>
      <w:r w:rsidR="00B11889" w:rsidRPr="00A76818">
        <w:rPr>
          <w:rFonts w:ascii="Calibri" w:hAnsi="Calibri" w:cs="Calibri"/>
          <w:color w:val="000000" w:themeColor="text1"/>
        </w:rPr>
        <w:t xml:space="preserve">existing </w:t>
      </w:r>
      <w:r w:rsidR="002058A5" w:rsidRPr="00A76818">
        <w:rPr>
          <w:rFonts w:ascii="Calibri" w:hAnsi="Calibri" w:cs="Calibri"/>
          <w:color w:val="000000" w:themeColor="text1"/>
        </w:rPr>
        <w:t xml:space="preserve">projects, please contact </w:t>
      </w:r>
      <w:r w:rsidR="00D170AD">
        <w:rPr>
          <w:rFonts w:ascii="Calibri" w:hAnsi="Calibri" w:cs="Calibri"/>
          <w:color w:val="000000" w:themeColor="text1"/>
        </w:rPr>
        <w:t xml:space="preserve">the Administrative Entity, Amador-Tuolumne Community Action Agency - </w:t>
      </w:r>
      <w:r w:rsidR="002058A5" w:rsidRPr="00A76818">
        <w:rPr>
          <w:rFonts w:ascii="Calibri" w:hAnsi="Calibri" w:cs="Calibri"/>
          <w:color w:val="000000" w:themeColor="text1"/>
        </w:rPr>
        <w:t>Denise Crawford</w:t>
      </w:r>
      <w:r w:rsidR="00B11889" w:rsidRPr="00A76818">
        <w:rPr>
          <w:rFonts w:ascii="Calibri" w:hAnsi="Calibri" w:cs="Calibri"/>
          <w:color w:val="000000" w:themeColor="text1"/>
        </w:rPr>
        <w:t xml:space="preserve"> from ATCAA at </w:t>
      </w:r>
      <w:hyperlink r:id="rId16" w:history="1">
        <w:r w:rsidR="005C1958" w:rsidRPr="00DD670F">
          <w:rPr>
            <w:rStyle w:val="Hyperlink"/>
            <w:rFonts w:ascii="Calibri" w:hAnsi="Calibri" w:cs="Calibri"/>
          </w:rPr>
          <w:t>dcloward@atcaa.org</w:t>
        </w:r>
      </w:hyperlink>
      <w:r w:rsidR="002058A5" w:rsidRPr="00A76818">
        <w:rPr>
          <w:rFonts w:ascii="Calibri" w:hAnsi="Calibri" w:cs="Calibri"/>
          <w:color w:val="000000" w:themeColor="text1"/>
        </w:rPr>
        <w:t xml:space="preserve">. </w:t>
      </w:r>
    </w:p>
    <w:p w14:paraId="6BA3DC59" w14:textId="08494636" w:rsidR="003D267D" w:rsidRDefault="003D267D" w:rsidP="000604EE">
      <w:pPr>
        <w:contextualSpacing/>
        <w:rPr>
          <w:rFonts w:ascii="Calibri" w:hAnsi="Calibri" w:cs="Calibri"/>
          <w:color w:val="000000" w:themeColor="text1"/>
        </w:rPr>
      </w:pPr>
    </w:p>
    <w:p w14:paraId="7E172D1A" w14:textId="11D8D074" w:rsidR="003D267D" w:rsidRDefault="003D267D" w:rsidP="000604EE">
      <w:pPr>
        <w:contextualSpacing/>
        <w:rPr>
          <w:rFonts w:ascii="Calibri" w:hAnsi="Calibri" w:cs="Calibri"/>
          <w:color w:val="000000" w:themeColor="text1"/>
        </w:rPr>
      </w:pPr>
      <w:r>
        <w:rPr>
          <w:rFonts w:ascii="Calibri" w:hAnsi="Calibri" w:cs="Calibri"/>
          <w:b/>
          <w:bCs/>
          <w:i/>
          <w:iCs/>
          <w:color w:val="000000" w:themeColor="text1"/>
        </w:rPr>
        <w:t xml:space="preserve">Forms and Handbook are on the website: </w:t>
      </w:r>
      <w:r w:rsidRPr="003D267D">
        <w:rPr>
          <w:rFonts w:ascii="Calibri" w:hAnsi="Calibri" w:cs="Calibri"/>
          <w:color w:val="000000" w:themeColor="text1"/>
        </w:rPr>
        <w:t>centralsierracoc.org</w:t>
      </w:r>
    </w:p>
    <w:p w14:paraId="45C1B3B4" w14:textId="63BAFB3A" w:rsidR="00D170AD" w:rsidRDefault="00D170AD" w:rsidP="000604EE">
      <w:pPr>
        <w:contextualSpacing/>
        <w:rPr>
          <w:rFonts w:ascii="Calibri" w:hAnsi="Calibri" w:cs="Calibri"/>
          <w:color w:val="000000" w:themeColor="text1"/>
        </w:rPr>
      </w:pPr>
    </w:p>
    <w:p w14:paraId="412D0153" w14:textId="77777777" w:rsidR="00F80BC0" w:rsidRPr="0058586C" w:rsidRDefault="00F80BC0" w:rsidP="00F80BC0">
      <w:pPr>
        <w:pStyle w:val="Heading1"/>
        <w:rPr>
          <w:b/>
          <w:bCs/>
          <w:color w:val="0070C0"/>
        </w:rPr>
      </w:pPr>
      <w:bookmarkStart w:id="1" w:name="_Toc124254967"/>
      <w:r w:rsidRPr="0058586C">
        <w:rPr>
          <w:b/>
          <w:bCs/>
          <w:color w:val="0070C0"/>
        </w:rPr>
        <w:lastRenderedPageBreak/>
        <w:t>CARES Act &amp; ESG-CV</w:t>
      </w:r>
      <w:r>
        <w:rPr>
          <w:b/>
          <w:bCs/>
          <w:color w:val="0070C0"/>
        </w:rPr>
        <w:t xml:space="preserve"> and Definitions</w:t>
      </w:r>
      <w:bookmarkEnd w:id="1"/>
    </w:p>
    <w:p w14:paraId="7698B107" w14:textId="77777777" w:rsidR="00F80BC0" w:rsidRDefault="00F80BC0" w:rsidP="00F80BC0">
      <w:pPr>
        <w:rPr>
          <w:rFonts w:ascii="Calibri" w:hAnsi="Calibri" w:cs="Calibri"/>
        </w:rPr>
      </w:pPr>
      <w:r w:rsidRPr="003413B3">
        <w:rPr>
          <w:rFonts w:ascii="Calibri" w:hAnsi="Calibri" w:cs="Calibri"/>
        </w:rPr>
        <w:t xml:space="preserve">The </w:t>
      </w:r>
      <w:r w:rsidRPr="003413B3">
        <w:rPr>
          <w:rFonts w:ascii="Calibri" w:hAnsi="Calibri" w:cs="Calibri"/>
          <w:b/>
          <w:bCs/>
        </w:rPr>
        <w:t>Coronavirus Aid, Relief, and Economic Security Act (</w:t>
      </w:r>
      <w:r w:rsidRPr="003413B3">
        <w:rPr>
          <w:rFonts w:ascii="Calibri" w:hAnsi="Calibri" w:cs="Calibri"/>
        </w:rPr>
        <w:t xml:space="preserve">CARES Act) appropriated a total of $4 billion in </w:t>
      </w:r>
      <w:r w:rsidRPr="003413B3">
        <w:rPr>
          <w:rFonts w:ascii="Calibri" w:hAnsi="Calibri" w:cs="Calibri"/>
          <w:b/>
          <w:bCs/>
        </w:rPr>
        <w:t xml:space="preserve">supplemental </w:t>
      </w:r>
      <w:r w:rsidRPr="003413B3">
        <w:rPr>
          <w:rFonts w:ascii="Calibri" w:hAnsi="Calibri" w:cs="Calibri"/>
          <w:b/>
          <w:bCs/>
          <w:u w:val="single"/>
        </w:rPr>
        <w:t>ESG CARES Act funding (ESG-CV)</w:t>
      </w:r>
      <w:r w:rsidRPr="003413B3">
        <w:rPr>
          <w:rFonts w:ascii="Calibri" w:hAnsi="Calibri" w:cs="Calibri"/>
          <w:b/>
          <w:bCs/>
        </w:rPr>
        <w:t xml:space="preserve"> </w:t>
      </w:r>
      <w:r w:rsidRPr="003413B3">
        <w:rPr>
          <w:rFonts w:ascii="Calibri" w:hAnsi="Calibri" w:cs="Calibri"/>
        </w:rPr>
        <w:t xml:space="preserve">nationwide. The U.S. Department of Housing and Urban Development (HUD) awarded the State of California millions to prevent, prepare for, and respond to COVID-19 among individuals and families who are at risk of or presently experiencing homelessness as a result of the COVID-19 pandemic. </w:t>
      </w:r>
      <w:r w:rsidRPr="003413B3">
        <w:rPr>
          <w:rFonts w:ascii="Calibri" w:hAnsi="Calibri" w:cs="Calibri"/>
          <w:color w:val="000000" w:themeColor="text1"/>
        </w:rPr>
        <w:t xml:space="preserve"> </w:t>
      </w:r>
      <w:r w:rsidRPr="003413B3">
        <w:rPr>
          <w:rFonts w:ascii="Calibri" w:hAnsi="Calibri" w:cs="Calibri"/>
        </w:rPr>
        <w:t>These policies will be in place until such time as determined to no longer be necessary by the U.S. Department of Housing and Urban Development.</w:t>
      </w:r>
    </w:p>
    <w:p w14:paraId="5ACC5E9D" w14:textId="77777777" w:rsidR="00F80BC0" w:rsidRDefault="00F80BC0" w:rsidP="00F80BC0">
      <w:pPr>
        <w:rPr>
          <w:rFonts w:ascii="Calibri" w:hAnsi="Calibri" w:cs="Calibri"/>
        </w:rPr>
      </w:pPr>
    </w:p>
    <w:p w14:paraId="6D569DA6" w14:textId="77777777" w:rsidR="00F80BC0" w:rsidRDefault="00F80BC0" w:rsidP="00F80BC0">
      <w:pPr>
        <w:rPr>
          <w:rFonts w:ascii="Calibri" w:hAnsi="Calibri" w:cs="Calibri"/>
        </w:rPr>
      </w:pPr>
      <w:r w:rsidRPr="00EE1DEE">
        <w:rPr>
          <w:rFonts w:ascii="Calibri" w:hAnsi="Calibri" w:cs="Calibri"/>
        </w:rPr>
        <w:t xml:space="preserve">Core parts of the way crisis response systems operate had to change as a result of COVID-19. </w:t>
      </w:r>
      <w:r>
        <w:rPr>
          <w:rFonts w:ascii="Calibri" w:hAnsi="Calibri" w:cs="Calibri"/>
        </w:rPr>
        <w:t>These</w:t>
      </w:r>
      <w:r w:rsidRPr="00EE1DEE">
        <w:rPr>
          <w:rFonts w:ascii="Calibri" w:hAnsi="Calibri" w:cs="Calibri"/>
        </w:rPr>
        <w:t xml:space="preserve"> COVID-19 standards for how major parts of the system operate</w:t>
      </w:r>
      <w:r>
        <w:rPr>
          <w:rFonts w:ascii="Calibri" w:hAnsi="Calibri" w:cs="Calibri"/>
        </w:rPr>
        <w:t xml:space="preserve"> are</w:t>
      </w:r>
      <w:r w:rsidRPr="00EE1DEE">
        <w:rPr>
          <w:rFonts w:ascii="Calibri" w:hAnsi="Calibri" w:cs="Calibri"/>
        </w:rPr>
        <w:t xml:space="preserve"> documented in </w:t>
      </w:r>
      <w:r>
        <w:rPr>
          <w:rFonts w:ascii="Calibri" w:hAnsi="Calibri" w:cs="Calibri"/>
        </w:rPr>
        <w:t>these</w:t>
      </w:r>
      <w:r w:rsidRPr="00EE1DEE">
        <w:rPr>
          <w:rFonts w:ascii="Calibri" w:hAnsi="Calibri" w:cs="Calibri"/>
        </w:rPr>
        <w:t xml:space="preserve"> written standards</w:t>
      </w:r>
      <w:r>
        <w:rPr>
          <w:rFonts w:ascii="Calibri" w:hAnsi="Calibri" w:cs="Calibri"/>
        </w:rPr>
        <w:t>, specified under ESG-CV designations</w:t>
      </w:r>
      <w:r w:rsidRPr="00EE1DEE">
        <w:rPr>
          <w:rFonts w:ascii="Calibri" w:hAnsi="Calibri" w:cs="Calibri"/>
        </w:rPr>
        <w:t xml:space="preserve">.  CSCoC </w:t>
      </w:r>
      <w:r>
        <w:rPr>
          <w:rFonts w:ascii="Calibri" w:hAnsi="Calibri" w:cs="Calibri"/>
        </w:rPr>
        <w:t xml:space="preserve">has </w:t>
      </w:r>
      <w:r w:rsidRPr="00EE1DEE">
        <w:rPr>
          <w:rFonts w:ascii="Calibri" w:hAnsi="Calibri" w:cs="Calibri"/>
        </w:rPr>
        <w:t>coordinate</w:t>
      </w:r>
      <w:r>
        <w:rPr>
          <w:rFonts w:ascii="Calibri" w:hAnsi="Calibri" w:cs="Calibri"/>
        </w:rPr>
        <w:t>d</w:t>
      </w:r>
      <w:r w:rsidRPr="00EE1DEE">
        <w:rPr>
          <w:rFonts w:ascii="Calibri" w:hAnsi="Calibri" w:cs="Calibri"/>
        </w:rPr>
        <w:t xml:space="preserve"> with public health partners to establish COVID-19-specific procedures</w:t>
      </w:r>
      <w:r>
        <w:rPr>
          <w:rFonts w:ascii="Calibri" w:hAnsi="Calibri" w:cs="Calibri"/>
        </w:rPr>
        <w:t>, s</w:t>
      </w:r>
      <w:r w:rsidRPr="00EE1DEE">
        <w:rPr>
          <w:rFonts w:ascii="Calibri" w:hAnsi="Calibri" w:cs="Calibri"/>
        </w:rPr>
        <w:t>helters funded by ESG-CV have established referral pathways to isolation and quarantine if a client needs such services</w:t>
      </w:r>
      <w:r>
        <w:rPr>
          <w:rFonts w:ascii="Calibri" w:hAnsi="Calibri" w:cs="Calibri"/>
        </w:rPr>
        <w:t xml:space="preserve"> and will </w:t>
      </w:r>
      <w:r w:rsidRPr="00EE1DEE">
        <w:rPr>
          <w:rFonts w:ascii="Calibri" w:hAnsi="Calibri" w:cs="Calibri"/>
        </w:rPr>
        <w:t>maintain social distancing requirements</w:t>
      </w:r>
      <w:r>
        <w:rPr>
          <w:rFonts w:ascii="Calibri" w:hAnsi="Calibri" w:cs="Calibri"/>
        </w:rPr>
        <w:t xml:space="preserve"> (as needed)</w:t>
      </w:r>
      <w:r w:rsidRPr="00EE1DEE">
        <w:rPr>
          <w:rFonts w:ascii="Calibri" w:hAnsi="Calibri" w:cs="Calibri"/>
        </w:rPr>
        <w:t xml:space="preserve"> in partnership with the local department of public health.</w:t>
      </w:r>
    </w:p>
    <w:p w14:paraId="2EEAE9BC" w14:textId="77777777" w:rsidR="00F80BC0" w:rsidRDefault="00F80BC0" w:rsidP="00F80BC0">
      <w:pPr>
        <w:rPr>
          <w:rFonts w:ascii="Calibri" w:hAnsi="Calibri" w:cs="Calibri"/>
        </w:rPr>
      </w:pPr>
    </w:p>
    <w:p w14:paraId="051591AA"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t>Affirmative Marketing and Outreach</w:t>
      </w:r>
    </w:p>
    <w:p w14:paraId="2781DB5C" w14:textId="77777777" w:rsidR="00F80BC0" w:rsidRDefault="00F80BC0" w:rsidP="00F80BC0">
      <w:pPr>
        <w:contextualSpacing/>
        <w:rPr>
          <w:rFonts w:ascii="Calibri" w:hAnsi="Calibri" w:cs="Calibri"/>
          <w:color w:val="000000" w:themeColor="text1"/>
        </w:rPr>
      </w:pPr>
      <w:r w:rsidRPr="00A76818">
        <w:rPr>
          <w:rFonts w:ascii="Calibri" w:hAnsi="Calibri" w:cs="Calibri"/>
          <w:color w:val="000000" w:themeColor="text1"/>
        </w:rPr>
        <w:t xml:space="preserve">The CoC Program interim rule at 24 CFR § 578.93(c) requires recipients of CSCoC Program funds to affirmatively market their projects to eligible households regardless of race, color, national origin, religion, sex, age, familial status, or disability who are least likely to apply in the absence of </w:t>
      </w:r>
      <w:proofErr w:type="gramStart"/>
      <w:r w:rsidRPr="00A76818">
        <w:rPr>
          <w:rFonts w:ascii="Calibri" w:hAnsi="Calibri" w:cs="Calibri"/>
          <w:color w:val="000000" w:themeColor="text1"/>
        </w:rPr>
        <w:t>outreach, and</w:t>
      </w:r>
      <w:proofErr w:type="gramEnd"/>
      <w:r w:rsidRPr="00A76818">
        <w:rPr>
          <w:rFonts w:ascii="Calibri" w:hAnsi="Calibri" w:cs="Calibri"/>
          <w:color w:val="000000" w:themeColor="text1"/>
        </w:rPr>
        <w:t xml:space="preserve"> maintain records of those marketing activities. Housing assisted by HUD and made available through the CSCoC shall also be made available to households without regard to actual or perceived sexual orientation, gender identity, or marital status in accordance with 24 CFR § 5.105(a)(2).</w:t>
      </w:r>
    </w:p>
    <w:p w14:paraId="3BC91F88" w14:textId="77777777" w:rsidR="00F80BC0" w:rsidRDefault="00F80BC0" w:rsidP="00F80BC0">
      <w:pPr>
        <w:contextualSpacing/>
        <w:rPr>
          <w:rFonts w:ascii="Calibri" w:hAnsi="Calibri" w:cs="Calibri"/>
          <w:color w:val="000000" w:themeColor="text1"/>
        </w:rPr>
      </w:pPr>
    </w:p>
    <w:p w14:paraId="2DCB6658"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t>CoC</w:t>
      </w:r>
    </w:p>
    <w:p w14:paraId="6F2211D0" w14:textId="77777777" w:rsidR="00F80BC0" w:rsidRPr="00A76818" w:rsidRDefault="00F80BC0" w:rsidP="00F80BC0">
      <w:pPr>
        <w:contextualSpacing/>
        <w:rPr>
          <w:rFonts w:ascii="Calibri" w:hAnsi="Calibri" w:cs="Calibri"/>
          <w:color w:val="000000" w:themeColor="text1"/>
        </w:rPr>
      </w:pPr>
      <w:r w:rsidRPr="00A76818">
        <w:rPr>
          <w:rFonts w:ascii="Calibri" w:hAnsi="Calibri" w:cs="Calibri"/>
          <w:color w:val="000000" w:themeColor="text1"/>
        </w:rPr>
        <w:t>Within the context of homelessness, a Continuum of Care is, first and foremost, a fellowship of care providers who assist community members along a wide spectrum of needs and services from preventing homelessness to providing immediate or long-term shelter and continuing to job placement. The sharing of information and resources across this spectrum makes it possible for these various businesses, providers, and services to work more efficiently and effectively together. This promotes communitywide commitment to the goal of ending homelessness; provides funding for efforts by nonprofit providers, and State and local governments to quickly rehouse homeless individuals and families while minimizing the trauma and dislocation caused to homeless individuals, families, and communities by homelessness; promotes access to and effect utilization of mainstream programs by homeless individuals and families; and optimizes self-sufficiency among individuals and families experiencing homelessness.</w:t>
      </w:r>
    </w:p>
    <w:p w14:paraId="09123C39" w14:textId="77777777" w:rsidR="00F80BC0" w:rsidRDefault="00F80BC0" w:rsidP="00F80BC0">
      <w:pPr>
        <w:contextualSpacing/>
        <w:rPr>
          <w:rFonts w:ascii="Calibri" w:hAnsi="Calibri" w:cs="Calibri"/>
          <w:color w:val="000000" w:themeColor="text1"/>
        </w:rPr>
      </w:pPr>
    </w:p>
    <w:p w14:paraId="1B9CFA4D" w14:textId="77777777" w:rsidR="00F80BC0" w:rsidRPr="00F25D2F" w:rsidRDefault="00F80BC0" w:rsidP="00F80BC0">
      <w:pPr>
        <w:rPr>
          <w:rFonts w:ascii="Calibri" w:hAnsi="Calibri" w:cs="Calibri"/>
          <w:u w:val="single"/>
        </w:rPr>
      </w:pPr>
      <w:r w:rsidRPr="00F25D2F">
        <w:rPr>
          <w:rFonts w:ascii="Calibri" w:hAnsi="Calibri" w:cs="Calibri"/>
          <w:u w:val="single"/>
        </w:rPr>
        <w:t>Collaboration with Public Health</w:t>
      </w:r>
    </w:p>
    <w:p w14:paraId="703B1A29" w14:textId="77777777" w:rsidR="00F80BC0" w:rsidRDefault="00F80BC0" w:rsidP="00F80BC0">
      <w:pPr>
        <w:rPr>
          <w:rFonts w:ascii="Calibri" w:hAnsi="Calibri" w:cs="Calibri"/>
        </w:rPr>
      </w:pPr>
      <w:r w:rsidRPr="00EE1DEE">
        <w:rPr>
          <w:rFonts w:ascii="Calibri" w:hAnsi="Calibri" w:cs="Calibri"/>
        </w:rPr>
        <w:t xml:space="preserve">During COVID-19, CSCoC </w:t>
      </w:r>
      <w:r>
        <w:rPr>
          <w:rFonts w:ascii="Calibri" w:hAnsi="Calibri" w:cs="Calibri"/>
        </w:rPr>
        <w:t>modified</w:t>
      </w:r>
      <w:r w:rsidRPr="00EE1DEE">
        <w:rPr>
          <w:rFonts w:ascii="Calibri" w:hAnsi="Calibri" w:cs="Calibri"/>
        </w:rPr>
        <w:t xml:space="preserve"> assessment or prioritization to include COVID-19 vulnerabilities such as age, specific health conditions, and/or medical frailty.  CSCoC has enacted </w:t>
      </w:r>
      <w:r>
        <w:rPr>
          <w:rFonts w:ascii="Calibri" w:hAnsi="Calibri" w:cs="Calibri"/>
        </w:rPr>
        <w:t>these Written Standards</w:t>
      </w:r>
      <w:r w:rsidRPr="00EE1DEE">
        <w:rPr>
          <w:rFonts w:ascii="Calibri" w:hAnsi="Calibri" w:cs="Calibri"/>
        </w:rPr>
        <w:t xml:space="preserve"> for coordination among emergency shelter providers, essential services providers, homelessness prevention, and rapid rehousing (RRH) assistance providers; other homeless </w:t>
      </w:r>
      <w:r w:rsidRPr="00EE1DEE">
        <w:rPr>
          <w:rFonts w:ascii="Calibri" w:hAnsi="Calibri" w:cs="Calibri"/>
        </w:rPr>
        <w:lastRenderedPageBreak/>
        <w:t>assistance providers; and mainstream service and housing providers (see §576.400(b) and (c) for a list of programs with which ESG-funded activities to be coordinated and integrated to the maximum extent practicable).  The local department of public health is available to conduct testing for people experiencing homelessness.  ESG-CV funded shelters and outreach programs encourage (but</w:t>
      </w:r>
      <w:r>
        <w:rPr>
          <w:rFonts w:ascii="Calibri" w:hAnsi="Calibri" w:cs="Calibri"/>
        </w:rPr>
        <w:t xml:space="preserve"> do</w:t>
      </w:r>
      <w:r w:rsidRPr="00EE1DEE">
        <w:rPr>
          <w:rFonts w:ascii="Calibri" w:hAnsi="Calibri" w:cs="Calibri"/>
        </w:rPr>
        <w:t xml:space="preserve"> not require) people experiencing homelessness to get tested if they are experiencing COVID-19 symptoms. Shelters in the CSCoC </w:t>
      </w:r>
      <w:r>
        <w:rPr>
          <w:rFonts w:ascii="Calibri" w:hAnsi="Calibri" w:cs="Calibri"/>
        </w:rPr>
        <w:t>may use</w:t>
      </w:r>
      <w:r w:rsidRPr="00EE1DEE">
        <w:rPr>
          <w:rFonts w:ascii="Calibri" w:hAnsi="Calibri" w:cs="Calibri"/>
        </w:rPr>
        <w:t xml:space="preserve"> funds provided through ESG-CV to purchase technology to access telehealth services provided through Healthcare for the Homeless.</w:t>
      </w:r>
    </w:p>
    <w:p w14:paraId="26678DF5" w14:textId="77777777" w:rsidR="00F80BC0" w:rsidRDefault="00F80BC0" w:rsidP="00F80BC0">
      <w:pPr>
        <w:rPr>
          <w:rFonts w:ascii="Calibri" w:hAnsi="Calibri" w:cs="Calibri"/>
          <w:u w:val="single"/>
        </w:rPr>
      </w:pPr>
    </w:p>
    <w:p w14:paraId="6DBDBB9B" w14:textId="77777777" w:rsidR="00F80BC0" w:rsidRPr="00F25D2F" w:rsidRDefault="00F80BC0" w:rsidP="00F80BC0">
      <w:pPr>
        <w:rPr>
          <w:rFonts w:ascii="Calibri" w:hAnsi="Calibri" w:cs="Calibri"/>
          <w:u w:val="single"/>
        </w:rPr>
      </w:pPr>
      <w:r w:rsidRPr="00F25D2F">
        <w:rPr>
          <w:rFonts w:ascii="Calibri" w:hAnsi="Calibri" w:cs="Calibri"/>
          <w:u w:val="single"/>
        </w:rPr>
        <w:t>Coordinated Entry</w:t>
      </w:r>
    </w:p>
    <w:p w14:paraId="22D30DB7" w14:textId="77777777" w:rsidR="00F80BC0" w:rsidRDefault="00F80BC0" w:rsidP="00F80BC0">
      <w:pPr>
        <w:rPr>
          <w:rFonts w:ascii="Calibri" w:hAnsi="Calibri" w:cs="Calibri"/>
        </w:rPr>
      </w:pPr>
      <w:r w:rsidRPr="00EE1DEE">
        <w:rPr>
          <w:rFonts w:ascii="Calibri" w:hAnsi="Calibri" w:cs="Calibri"/>
        </w:rPr>
        <w:t xml:space="preserve">To maintain </w:t>
      </w:r>
      <w:r>
        <w:rPr>
          <w:rFonts w:ascii="Calibri" w:hAnsi="Calibri" w:cs="Calibri"/>
        </w:rPr>
        <w:t>Written Standards</w:t>
      </w:r>
      <w:r w:rsidRPr="00EE1DEE">
        <w:rPr>
          <w:rFonts w:ascii="Calibri" w:hAnsi="Calibri" w:cs="Calibri"/>
        </w:rPr>
        <w:t xml:space="preserve"> evaluating individuals’ and families’ eligibility for assistance under ESG, coordinated entry systems (CES) </w:t>
      </w:r>
      <w:r>
        <w:rPr>
          <w:rFonts w:ascii="Calibri" w:hAnsi="Calibri" w:cs="Calibri"/>
        </w:rPr>
        <w:t xml:space="preserve">have been modified to expedite the </w:t>
      </w:r>
      <w:r w:rsidRPr="00EE1DEE">
        <w:rPr>
          <w:rFonts w:ascii="Calibri" w:hAnsi="Calibri" w:cs="Calibri"/>
        </w:rPr>
        <w:t xml:space="preserve">assessment, scoring, and eligibility determinations to prioritize those at high risk for severe illness from COVID-19 for shelter and housing.  Coordinated entry modifications </w:t>
      </w:r>
      <w:r>
        <w:rPr>
          <w:rFonts w:ascii="Calibri" w:hAnsi="Calibri" w:cs="Calibri"/>
        </w:rPr>
        <w:t>are</w:t>
      </w:r>
      <w:r w:rsidRPr="00EE1DEE">
        <w:rPr>
          <w:rFonts w:ascii="Calibri" w:hAnsi="Calibri" w:cs="Calibri"/>
        </w:rPr>
        <w:t xml:space="preserve"> consistent with fair housing and nondiscrimination requirements.</w:t>
      </w:r>
      <w:r>
        <w:rPr>
          <w:rFonts w:ascii="Calibri" w:hAnsi="Calibri" w:cs="Calibri"/>
        </w:rPr>
        <w:t xml:space="preserve">  </w:t>
      </w:r>
      <w:r w:rsidRPr="00EE1DEE">
        <w:rPr>
          <w:rFonts w:ascii="Calibri" w:hAnsi="Calibri" w:cs="Calibri"/>
        </w:rPr>
        <w:t xml:space="preserve">In collaboration with the local Healthcare for the Homeless, the CSCoC has streamlined and updated the CES Assessment to include COVID-19 vulnerabilities outlined in the state protective health order which established non-congregate shelters (NCS) for people experiencing homelessness.  This assessment </w:t>
      </w:r>
      <w:r>
        <w:rPr>
          <w:rFonts w:ascii="Calibri" w:hAnsi="Calibri" w:cs="Calibri"/>
        </w:rPr>
        <w:t>is in use</w:t>
      </w:r>
      <w:r w:rsidRPr="00EE1DEE">
        <w:rPr>
          <w:rFonts w:ascii="Calibri" w:hAnsi="Calibri" w:cs="Calibri"/>
        </w:rPr>
        <w:t xml:space="preserve"> for housing placement during the pandemic.</w:t>
      </w:r>
      <w:r>
        <w:rPr>
          <w:rFonts w:ascii="Calibri" w:hAnsi="Calibri" w:cs="Calibri"/>
        </w:rPr>
        <w:t xml:space="preserve">  </w:t>
      </w:r>
      <w:r w:rsidRPr="00EE1DEE">
        <w:rPr>
          <w:rFonts w:ascii="Calibri" w:hAnsi="Calibri" w:cs="Calibri"/>
        </w:rPr>
        <w:t xml:space="preserve">To maintain standards for targeting and providing essential services related to street outreach, standards for providing street outreach have been updated or modified in coordination with public health partners.  </w:t>
      </w:r>
    </w:p>
    <w:p w14:paraId="15C1E83F" w14:textId="77777777" w:rsidR="00F80BC0" w:rsidRDefault="00F80BC0" w:rsidP="00F80BC0">
      <w:pPr>
        <w:contextualSpacing/>
        <w:rPr>
          <w:rFonts w:ascii="Calibri" w:hAnsi="Calibri" w:cs="Calibri"/>
          <w:color w:val="000000" w:themeColor="text1"/>
        </w:rPr>
      </w:pPr>
    </w:p>
    <w:p w14:paraId="4AF7664B" w14:textId="77777777" w:rsidR="00F80BC0" w:rsidRDefault="00F80BC0" w:rsidP="00F80BC0">
      <w:pPr>
        <w:contextualSpacing/>
        <w:rPr>
          <w:rFonts w:ascii="Calibri" w:hAnsi="Calibri" w:cs="Calibri"/>
          <w:color w:val="000000" w:themeColor="text1"/>
        </w:rPr>
      </w:pPr>
      <w:r w:rsidRPr="00A76818">
        <w:rPr>
          <w:rFonts w:ascii="Calibri" w:hAnsi="Calibri" w:cs="Calibri"/>
          <w:color w:val="000000" w:themeColor="text1"/>
        </w:rPr>
        <w:t xml:space="preserve">The coordinated entry process is an approach to coordination and management of a crisis response system’s resources that allows for consistent decisions from available information, to </w:t>
      </w:r>
      <w:proofErr w:type="gramStart"/>
      <w:r w:rsidRPr="00A76818">
        <w:rPr>
          <w:rFonts w:ascii="Calibri" w:hAnsi="Calibri" w:cs="Calibri"/>
          <w:color w:val="000000" w:themeColor="text1"/>
        </w:rPr>
        <w:t>efficiently and effectively connect households</w:t>
      </w:r>
      <w:proofErr w:type="gramEnd"/>
      <w:r w:rsidRPr="00A76818">
        <w:rPr>
          <w:rFonts w:ascii="Calibri" w:hAnsi="Calibri" w:cs="Calibri"/>
          <w:color w:val="000000" w:themeColor="text1"/>
        </w:rPr>
        <w:t xml:space="preserve"> to interventions that will rapidly end their homelessness. The goal is to develop a fair, rapid, coordinated, evidence-based, and transparent homeless response system. </w:t>
      </w:r>
    </w:p>
    <w:p w14:paraId="101C27F0" w14:textId="77777777" w:rsidR="00F80BC0" w:rsidRDefault="00F80BC0" w:rsidP="00F80BC0">
      <w:pPr>
        <w:contextualSpacing/>
        <w:rPr>
          <w:rFonts w:ascii="Calibri" w:hAnsi="Calibri" w:cs="Calibri"/>
          <w:color w:val="000000" w:themeColor="text1"/>
        </w:rPr>
      </w:pPr>
    </w:p>
    <w:p w14:paraId="2334C9C0"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t>CSCoC</w:t>
      </w:r>
    </w:p>
    <w:p w14:paraId="3B2CA0FE" w14:textId="77777777" w:rsidR="00F80BC0" w:rsidRDefault="00F80BC0" w:rsidP="00F80BC0">
      <w:pPr>
        <w:contextualSpacing/>
        <w:rPr>
          <w:rFonts w:ascii="Calibri" w:hAnsi="Calibri" w:cs="Calibri"/>
          <w:color w:val="000000" w:themeColor="text1"/>
        </w:rPr>
      </w:pPr>
      <w:r w:rsidRPr="00A76818">
        <w:rPr>
          <w:rFonts w:ascii="Calibri" w:hAnsi="Calibri" w:cs="Calibri"/>
          <w:color w:val="000000" w:themeColor="text1"/>
        </w:rPr>
        <w:t xml:space="preserve">The Central Sierra Continuum of Care is the organization that has been created to organize the continuum of care and services within the four counties of Amador, Calaveras, Mariposa, and Tuolumne. By pooling resources across the CSCoC, we can leverage existing resources to achieve care and services for each household and avoid duplication of services. This group is committed to a unified plan toward ending homelessness across these four counties. </w:t>
      </w:r>
    </w:p>
    <w:p w14:paraId="3A290CBC" w14:textId="77777777" w:rsidR="00F80BC0" w:rsidRPr="00A76818" w:rsidRDefault="00F80BC0" w:rsidP="00F80BC0">
      <w:pPr>
        <w:contextualSpacing/>
        <w:rPr>
          <w:rFonts w:ascii="Calibri" w:hAnsi="Calibri" w:cs="Calibri"/>
          <w:color w:val="000000" w:themeColor="text1"/>
        </w:rPr>
      </w:pPr>
    </w:p>
    <w:p w14:paraId="53DA67AE" w14:textId="77777777" w:rsidR="00F80BC0" w:rsidRPr="00F25D2F" w:rsidRDefault="00F80BC0" w:rsidP="00F80BC0">
      <w:pPr>
        <w:pStyle w:val="Default"/>
        <w:rPr>
          <w:rFonts w:ascii="Calibri" w:hAnsi="Calibri" w:cs="Calibri"/>
          <w:u w:val="single"/>
        </w:rPr>
      </w:pPr>
      <w:r w:rsidRPr="00F25D2F">
        <w:rPr>
          <w:rFonts w:ascii="Calibri" w:hAnsi="Calibri" w:cs="Calibri"/>
          <w:u w:val="single"/>
        </w:rPr>
        <w:t>Economic Impact</w:t>
      </w:r>
    </w:p>
    <w:p w14:paraId="7CC860D0" w14:textId="77777777" w:rsidR="00F80BC0" w:rsidRPr="00EE1DEE" w:rsidRDefault="00F80BC0" w:rsidP="00F80BC0">
      <w:pPr>
        <w:pStyle w:val="Default"/>
        <w:rPr>
          <w:rFonts w:ascii="Calibri" w:hAnsi="Calibri" w:cs="Calibri"/>
        </w:rPr>
      </w:pPr>
      <w:r w:rsidRPr="00EE1DEE">
        <w:rPr>
          <w:rFonts w:ascii="Calibri" w:hAnsi="Calibri" w:cs="Calibri"/>
        </w:rPr>
        <w:t xml:space="preserve">CSCoC maintains standards for determining how long a particular program participant will be provided with rental assistance and whether and how the amount of that assistance will be adjusted over time.  The CARES Act provides that ESG-CV funds be used to mitigate the economic impact of COVID-19.  CSCoC programs </w:t>
      </w:r>
      <w:r>
        <w:rPr>
          <w:rFonts w:ascii="Calibri" w:hAnsi="Calibri" w:cs="Calibri"/>
        </w:rPr>
        <w:t>have extended/adjusted t</w:t>
      </w:r>
      <w:r w:rsidRPr="00EE1DEE">
        <w:rPr>
          <w:rFonts w:ascii="Calibri" w:hAnsi="Calibri" w:cs="Calibri"/>
        </w:rPr>
        <w:t xml:space="preserve">he maximum number of rental assistance months to address unemployment, loss of income, or benefits due to COVID-19. </w:t>
      </w:r>
    </w:p>
    <w:p w14:paraId="2E370D44" w14:textId="77777777" w:rsidR="00F80BC0" w:rsidRDefault="00F80BC0" w:rsidP="00F80BC0">
      <w:pPr>
        <w:pStyle w:val="Default"/>
        <w:rPr>
          <w:rFonts w:ascii="Calibri" w:hAnsi="Calibri" w:cs="Calibri"/>
        </w:rPr>
      </w:pPr>
    </w:p>
    <w:p w14:paraId="1104AD5E" w14:textId="77777777" w:rsidR="00F80BC0" w:rsidRPr="00EE1DEE" w:rsidRDefault="00F80BC0" w:rsidP="00F80BC0">
      <w:pPr>
        <w:pStyle w:val="Default"/>
        <w:rPr>
          <w:rFonts w:ascii="Calibri" w:hAnsi="Calibri" w:cs="Calibri"/>
        </w:rPr>
      </w:pPr>
      <w:r w:rsidRPr="00EE1DEE">
        <w:rPr>
          <w:rFonts w:ascii="Calibri" w:hAnsi="Calibri" w:cs="Calibri"/>
        </w:rPr>
        <w:lastRenderedPageBreak/>
        <w:t>RRH sub-recipients use a progressive engagement model; this practice supports using the least intensive intervention to help resolve homelessness for the individual or family.  CSCoC providers add more assistance only as necessary if the less intensive intervention is unsuccessful.  RRH households receiving rental assistance subsidies must contribute a minimum of 30 percent of their monthly adjusted income toward their monthly rent.  This tenant rent contribution may be adjusted at any time based on changes to household income.  There is no minimum rent requirement and tenant rent contribution may be zero for households with no income.</w:t>
      </w:r>
    </w:p>
    <w:p w14:paraId="7B7BA372" w14:textId="77777777" w:rsidR="00F80BC0" w:rsidRDefault="00F80BC0" w:rsidP="00F80BC0">
      <w:pPr>
        <w:rPr>
          <w:rFonts w:ascii="Calibri" w:hAnsi="Calibri" w:cs="Calibri"/>
          <w:u w:val="single"/>
        </w:rPr>
      </w:pPr>
    </w:p>
    <w:p w14:paraId="513A4460"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t>Eligibility</w:t>
      </w:r>
    </w:p>
    <w:p w14:paraId="435DE95F" w14:textId="77777777" w:rsidR="00F80BC0" w:rsidRDefault="00F80BC0" w:rsidP="00F80BC0">
      <w:pPr>
        <w:contextualSpacing/>
        <w:rPr>
          <w:rFonts w:ascii="Calibri" w:hAnsi="Calibri" w:cs="Calibri"/>
          <w:color w:val="000000" w:themeColor="text1"/>
        </w:rPr>
      </w:pPr>
      <w:r w:rsidRPr="00A76818">
        <w:rPr>
          <w:rFonts w:ascii="Calibri" w:hAnsi="Calibri" w:cs="Calibri"/>
          <w:color w:val="000000" w:themeColor="text1"/>
        </w:rPr>
        <w:t>In the context of the coordinated entry process, determining eligibility is a project-level process governed by written standards as established in CFR § 576.400(e) and 24 CFR § 578.7(a)(9). Eligibility information is not used as part of prioritization and ranking. Projects may be legally permitted to limit eligibility through a federal statute which requires that assistance be utilized for a specific population via state or local permissions in instances where federal funding is not used, and federal civil rights laws are not violated.</w:t>
      </w:r>
    </w:p>
    <w:p w14:paraId="04CEBAD5" w14:textId="77777777" w:rsidR="00F80BC0" w:rsidRPr="00A76818" w:rsidRDefault="00F80BC0" w:rsidP="00F80BC0">
      <w:pPr>
        <w:contextualSpacing/>
        <w:rPr>
          <w:rFonts w:ascii="Calibri" w:hAnsi="Calibri" w:cs="Calibri"/>
          <w:color w:val="000000" w:themeColor="text1"/>
        </w:rPr>
      </w:pPr>
    </w:p>
    <w:p w14:paraId="09E21E47" w14:textId="77777777" w:rsidR="00F80BC0" w:rsidRPr="00F25D2F" w:rsidRDefault="00F80BC0" w:rsidP="00F80BC0">
      <w:pPr>
        <w:rPr>
          <w:rFonts w:ascii="Calibri" w:hAnsi="Calibri" w:cs="Calibri"/>
          <w:u w:val="single"/>
        </w:rPr>
      </w:pPr>
      <w:r w:rsidRPr="00F25D2F">
        <w:rPr>
          <w:rFonts w:ascii="Calibri" w:hAnsi="Calibri" w:cs="Calibri"/>
          <w:u w:val="single"/>
        </w:rPr>
        <w:t>Emergency Shelters</w:t>
      </w:r>
    </w:p>
    <w:p w14:paraId="42B0334E" w14:textId="77777777" w:rsidR="00F80BC0" w:rsidRPr="00EE1DEE" w:rsidRDefault="00F80BC0" w:rsidP="00F80BC0">
      <w:pPr>
        <w:rPr>
          <w:rFonts w:ascii="Calibri" w:hAnsi="Calibri" w:cs="Calibri"/>
        </w:rPr>
      </w:pPr>
      <w:r>
        <w:rPr>
          <w:rFonts w:ascii="Calibri" w:hAnsi="Calibri" w:cs="Calibri"/>
        </w:rPr>
        <w:t>Written Standards have been</w:t>
      </w:r>
      <w:r w:rsidRPr="00EE1DEE">
        <w:rPr>
          <w:rFonts w:ascii="Calibri" w:hAnsi="Calibri" w:cs="Calibri"/>
        </w:rPr>
        <w:t xml:space="preserve"> revised for admission, diversion, referral, and discharge by emergency shelters assisted under ESG, including standards regarding the length of stay, and safeguards to meet the safety and shelter needs of special populations (e.g., victims of domestic violence, sexual assault, and stalking) and individuals and families who have the highest barriers to housing and are likely to be homeless the longest.  Emergency shelters are a vital, life-saving resource that play a key role in communities’ COVID-19 responses.  </w:t>
      </w:r>
    </w:p>
    <w:p w14:paraId="7CAD02EF" w14:textId="77777777" w:rsidR="00F80BC0" w:rsidRDefault="00F80BC0" w:rsidP="00F80BC0">
      <w:pPr>
        <w:pStyle w:val="Default"/>
        <w:jc w:val="both"/>
        <w:rPr>
          <w:rFonts w:ascii="Calibri" w:hAnsi="Calibri" w:cs="Calibri"/>
        </w:rPr>
      </w:pPr>
    </w:p>
    <w:p w14:paraId="14569598" w14:textId="77777777" w:rsidR="00F80BC0" w:rsidRDefault="00F80BC0" w:rsidP="00F80BC0">
      <w:pPr>
        <w:pStyle w:val="Default"/>
        <w:jc w:val="both"/>
        <w:rPr>
          <w:rFonts w:ascii="Calibri" w:hAnsi="Calibri" w:cs="Calibri"/>
        </w:rPr>
      </w:pPr>
      <w:r w:rsidRPr="00EE1DEE">
        <w:rPr>
          <w:rFonts w:ascii="Calibri" w:hAnsi="Calibri" w:cs="Calibri"/>
        </w:rPr>
        <w:t xml:space="preserve">Shelters funded by ESG-CV </w:t>
      </w:r>
      <w:r>
        <w:rPr>
          <w:rFonts w:ascii="Calibri" w:hAnsi="Calibri" w:cs="Calibri"/>
        </w:rPr>
        <w:t>do</w:t>
      </w:r>
      <w:r w:rsidRPr="00EE1DEE">
        <w:rPr>
          <w:rFonts w:ascii="Calibri" w:hAnsi="Calibri" w:cs="Calibri"/>
        </w:rPr>
        <w:t xml:space="preserve"> not turn away eligible program participants and the CSCoC has established referral pathways to other shelter or housing if the shelter is at maximum capacity.  Shelters utilize referral pathways to isolation and quarantine if a client is in need of such services.</w:t>
      </w:r>
      <w:r>
        <w:rPr>
          <w:rFonts w:ascii="Calibri" w:hAnsi="Calibri" w:cs="Calibri"/>
        </w:rPr>
        <w:t xml:space="preserve">  </w:t>
      </w:r>
      <w:r w:rsidRPr="00EE1DEE">
        <w:rPr>
          <w:rFonts w:ascii="Calibri" w:hAnsi="Calibri" w:cs="Calibri"/>
        </w:rPr>
        <w:t xml:space="preserve">Someone who presents at an ESG-funded shelter with respiratory symptoms (e.g., cough) </w:t>
      </w:r>
      <w:r>
        <w:rPr>
          <w:rFonts w:ascii="Calibri" w:hAnsi="Calibri" w:cs="Calibri"/>
        </w:rPr>
        <w:t>is</w:t>
      </w:r>
      <w:r w:rsidRPr="00EE1DEE">
        <w:rPr>
          <w:rFonts w:ascii="Calibri" w:hAnsi="Calibri" w:cs="Calibri"/>
        </w:rPr>
        <w:t xml:space="preserve"> not turned away solely because of their health symptoms. Shelters funded by ESG-CV </w:t>
      </w:r>
      <w:r>
        <w:rPr>
          <w:rFonts w:ascii="Calibri" w:hAnsi="Calibri" w:cs="Calibri"/>
        </w:rPr>
        <w:t>do</w:t>
      </w:r>
      <w:r w:rsidRPr="00EE1DEE">
        <w:rPr>
          <w:rFonts w:ascii="Calibri" w:hAnsi="Calibri" w:cs="Calibri"/>
        </w:rPr>
        <w:t xml:space="preserve"> not implement a maximum length of stay when a discharge will result in program participants returning to unsheltered settings or situations putting them at a higher risk of COVID-19 infection. </w:t>
      </w:r>
    </w:p>
    <w:p w14:paraId="58B5AAFB" w14:textId="77777777" w:rsidR="00F80BC0" w:rsidRDefault="00F80BC0" w:rsidP="00F80BC0">
      <w:pPr>
        <w:pStyle w:val="Default"/>
        <w:jc w:val="both"/>
        <w:rPr>
          <w:rFonts w:ascii="Calibri" w:hAnsi="Calibri" w:cs="Calibri"/>
        </w:rPr>
      </w:pPr>
    </w:p>
    <w:p w14:paraId="4C6D32F4"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t>Entry Point or HUB</w:t>
      </w:r>
    </w:p>
    <w:p w14:paraId="14489754" w14:textId="77777777" w:rsidR="00F80BC0" w:rsidRDefault="00F80BC0" w:rsidP="00F80BC0">
      <w:pPr>
        <w:contextualSpacing/>
        <w:rPr>
          <w:rFonts w:ascii="Calibri" w:hAnsi="Calibri" w:cs="Calibri"/>
          <w:color w:val="000000" w:themeColor="text1"/>
        </w:rPr>
      </w:pPr>
      <w:r w:rsidRPr="00A76818">
        <w:rPr>
          <w:rFonts w:ascii="Calibri" w:hAnsi="Calibri" w:cs="Calibri"/>
          <w:color w:val="000000" w:themeColor="text1"/>
        </w:rPr>
        <w:t>Entry points are the places – either virtual or physical – where a household in need of assistance accesses the coordinated entry process. To ensure accessibility to households in need, CSCoC provides access to projects from multiple, convenient physical locations. Households may initiate a request for services in person through any of the designated HUB Stations or through additional housing community service providers.</w:t>
      </w:r>
    </w:p>
    <w:p w14:paraId="3FE23F71" w14:textId="77777777" w:rsidR="00F80BC0" w:rsidRDefault="00F80BC0" w:rsidP="00F80BC0">
      <w:pPr>
        <w:contextualSpacing/>
        <w:rPr>
          <w:rFonts w:ascii="Calibri" w:hAnsi="Calibri" w:cs="Calibri"/>
          <w:color w:val="000000" w:themeColor="text1"/>
        </w:rPr>
      </w:pPr>
    </w:p>
    <w:p w14:paraId="65A8A84B" w14:textId="77777777" w:rsidR="00F80BC0" w:rsidRDefault="00F80BC0" w:rsidP="00F80BC0">
      <w:pPr>
        <w:contextualSpacing/>
        <w:rPr>
          <w:rFonts w:ascii="Calibri" w:hAnsi="Calibri" w:cs="Calibri"/>
          <w:color w:val="000000" w:themeColor="text1"/>
          <w:u w:val="single"/>
        </w:rPr>
      </w:pPr>
    </w:p>
    <w:p w14:paraId="124D21B6" w14:textId="77777777" w:rsidR="00F80BC0" w:rsidRDefault="00F80BC0" w:rsidP="00F80BC0">
      <w:pPr>
        <w:contextualSpacing/>
        <w:rPr>
          <w:rFonts w:ascii="Calibri" w:hAnsi="Calibri" w:cs="Calibri"/>
          <w:color w:val="000000" w:themeColor="text1"/>
          <w:u w:val="single"/>
        </w:rPr>
      </w:pPr>
    </w:p>
    <w:p w14:paraId="3412FC24"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lastRenderedPageBreak/>
        <w:t>ESG</w:t>
      </w:r>
    </w:p>
    <w:p w14:paraId="575FAD52" w14:textId="77777777" w:rsidR="00F80BC0" w:rsidRPr="00A76818" w:rsidRDefault="00F80BC0" w:rsidP="00F80BC0">
      <w:pPr>
        <w:contextualSpacing/>
        <w:rPr>
          <w:rFonts w:ascii="Calibri" w:hAnsi="Calibri" w:cs="Calibri"/>
          <w:color w:val="000000" w:themeColor="text1"/>
        </w:rPr>
      </w:pPr>
      <w:r w:rsidRPr="00A76818">
        <w:rPr>
          <w:rFonts w:ascii="Calibri" w:hAnsi="Calibri" w:cs="Calibri"/>
          <w:color w:val="000000" w:themeColor="text1"/>
        </w:rPr>
        <w:t>The Homeless Emergency Assistance and Rapid Transition to Housing Act of 2009 (HEARTH Act) amended the McKinney-Vento Homeless Assistance Act, revising the Emergency Shelter Grants Program in significant ways and renaming it the Emergency Solutions Grants (ESG) program. The ESG Interim Rule took effect on January 4, 2012. The change in the program’s name, from Emergency Shelter Grants to Emergency Solutions Grants, reflects the change in the program’s focus from addressing the needs of homeless people in emergency or transitional shelters to assisting people to quickly regain stability in permanent housing after experiencing a housing crisis and/or homelessness.</w:t>
      </w:r>
    </w:p>
    <w:p w14:paraId="0C88FE21" w14:textId="77777777" w:rsidR="00F80BC0" w:rsidRPr="00A76818" w:rsidRDefault="00F80BC0" w:rsidP="00F80BC0">
      <w:pPr>
        <w:contextualSpacing/>
        <w:rPr>
          <w:rFonts w:ascii="Calibri" w:hAnsi="Calibri" w:cs="Calibri"/>
          <w:color w:val="000000" w:themeColor="text1"/>
        </w:rPr>
      </w:pPr>
    </w:p>
    <w:p w14:paraId="7E89FB92" w14:textId="77777777" w:rsidR="00F80BC0" w:rsidRDefault="00F80BC0" w:rsidP="00F80BC0">
      <w:pPr>
        <w:contextualSpacing/>
        <w:rPr>
          <w:rFonts w:ascii="Calibri" w:hAnsi="Calibri" w:cs="Calibri"/>
          <w:color w:val="000000" w:themeColor="text1"/>
          <w:u w:val="single"/>
        </w:rPr>
      </w:pPr>
      <w:r>
        <w:rPr>
          <w:rFonts w:ascii="Calibri" w:hAnsi="Calibri" w:cs="Calibri"/>
          <w:color w:val="000000" w:themeColor="text1"/>
          <w:u w:val="single"/>
        </w:rPr>
        <w:t>ESG-CV</w:t>
      </w:r>
    </w:p>
    <w:p w14:paraId="0E850A1A" w14:textId="77777777" w:rsidR="00F80BC0" w:rsidRPr="003D267D" w:rsidRDefault="00F80BC0" w:rsidP="00F80BC0">
      <w:pPr>
        <w:spacing w:after="120"/>
        <w:rPr>
          <w:rFonts w:ascii="Calibri" w:hAnsi="Calibri" w:cs="Calibri"/>
          <w:color w:val="000000" w:themeColor="text1"/>
        </w:rPr>
      </w:pPr>
      <w:r w:rsidRPr="003D267D">
        <w:rPr>
          <w:rFonts w:ascii="Calibri" w:hAnsi="Calibri" w:cs="Calibri"/>
        </w:rPr>
        <w:t xml:space="preserve">The </w:t>
      </w:r>
      <w:r w:rsidRPr="003D267D">
        <w:rPr>
          <w:rFonts w:ascii="Calibri" w:hAnsi="Calibri" w:cs="Calibri"/>
          <w:b/>
          <w:bCs/>
        </w:rPr>
        <w:t>Coronavirus Aid, Relief, and Economic Security Act (</w:t>
      </w:r>
      <w:r w:rsidRPr="003D267D">
        <w:rPr>
          <w:rFonts w:ascii="Calibri" w:hAnsi="Calibri" w:cs="Calibri"/>
        </w:rPr>
        <w:t xml:space="preserve">CARES Act) appropriated a total of $4 billion in </w:t>
      </w:r>
      <w:r w:rsidRPr="003D267D">
        <w:rPr>
          <w:rFonts w:ascii="Calibri" w:hAnsi="Calibri" w:cs="Calibri"/>
          <w:b/>
          <w:bCs/>
        </w:rPr>
        <w:t xml:space="preserve">supplemental </w:t>
      </w:r>
      <w:r w:rsidRPr="003D267D">
        <w:rPr>
          <w:rFonts w:ascii="Calibri" w:hAnsi="Calibri" w:cs="Calibri"/>
          <w:b/>
          <w:bCs/>
          <w:u w:val="single"/>
        </w:rPr>
        <w:t>ESG CARES Act funding (ESG-CV)</w:t>
      </w:r>
      <w:r w:rsidRPr="003D267D">
        <w:rPr>
          <w:rFonts w:ascii="Calibri" w:hAnsi="Calibri" w:cs="Calibri"/>
          <w:b/>
          <w:bCs/>
        </w:rPr>
        <w:t xml:space="preserve"> </w:t>
      </w:r>
      <w:r w:rsidRPr="003D267D">
        <w:rPr>
          <w:rFonts w:ascii="Calibri" w:hAnsi="Calibri" w:cs="Calibri"/>
        </w:rPr>
        <w:t xml:space="preserve">nationwide. The U.S. Department of Housing and Urban Development (HUD) awarded the State of California millions to prevent, prepare for, and respond to COVID-19 among individuals and families who are at risk of or presently experiencing homelessness as a result of the COVID-19 pandemic. </w:t>
      </w:r>
      <w:r w:rsidRPr="003D267D">
        <w:rPr>
          <w:rFonts w:ascii="Calibri" w:hAnsi="Calibri" w:cs="Calibri"/>
          <w:color w:val="000000" w:themeColor="text1"/>
        </w:rPr>
        <w:t xml:space="preserve"> </w:t>
      </w:r>
      <w:r w:rsidRPr="003D267D">
        <w:rPr>
          <w:rFonts w:ascii="Calibri" w:hAnsi="Calibri" w:cs="Calibri"/>
        </w:rPr>
        <w:t>These policies will be in place until such time as determined to no longer be necessary by the U.S. Department of Housing and Urban Development.</w:t>
      </w:r>
    </w:p>
    <w:p w14:paraId="20E136E1" w14:textId="77777777" w:rsidR="00F80BC0" w:rsidRDefault="00F80BC0" w:rsidP="00F80BC0">
      <w:pPr>
        <w:contextualSpacing/>
        <w:rPr>
          <w:rFonts w:ascii="Calibri" w:hAnsi="Calibri" w:cs="Calibri"/>
        </w:rPr>
      </w:pPr>
      <w:r w:rsidRPr="003D267D">
        <w:rPr>
          <w:rFonts w:ascii="Calibri" w:hAnsi="Calibri" w:cs="Calibri"/>
        </w:rPr>
        <w:t xml:space="preserve">Outlined below are the standards for each component type allowed under ESG-CV programming. Unless exceptions are outlined below, all other requirements outlined in the </w:t>
      </w:r>
      <w:r w:rsidRPr="003D267D">
        <w:rPr>
          <w:rFonts w:ascii="Calibri" w:hAnsi="Calibri" w:cs="Calibri"/>
          <w:color w:val="0F6FC6" w:themeColor="accent1"/>
          <w:u w:val="single"/>
        </w:rPr>
        <w:t>Central Sierra Continuum of Care (CSCoC) Written Standards</w:t>
      </w:r>
      <w:r w:rsidRPr="003D267D">
        <w:rPr>
          <w:rFonts w:ascii="Calibri" w:hAnsi="Calibri" w:cs="Calibri"/>
          <w:color w:val="0F6FC6" w:themeColor="accent1"/>
        </w:rPr>
        <w:t xml:space="preserve"> </w:t>
      </w:r>
      <w:r w:rsidRPr="003D267D">
        <w:rPr>
          <w:rFonts w:ascii="Calibri" w:hAnsi="Calibri" w:cs="Calibri"/>
        </w:rPr>
        <w:t>shall apply.</w:t>
      </w:r>
    </w:p>
    <w:p w14:paraId="7B030863" w14:textId="77777777" w:rsidR="00F80BC0" w:rsidRDefault="00F80BC0" w:rsidP="00F80BC0">
      <w:pPr>
        <w:contextualSpacing/>
        <w:rPr>
          <w:rFonts w:ascii="Calibri" w:hAnsi="Calibri" w:cs="Calibri"/>
        </w:rPr>
      </w:pPr>
    </w:p>
    <w:p w14:paraId="3E65B613"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t>HMIS</w:t>
      </w:r>
    </w:p>
    <w:p w14:paraId="5F06D755" w14:textId="77777777" w:rsidR="00F80BC0" w:rsidRPr="00A76818" w:rsidRDefault="00F80BC0" w:rsidP="00F80BC0">
      <w:pPr>
        <w:contextualSpacing/>
        <w:rPr>
          <w:rFonts w:ascii="Calibri" w:hAnsi="Calibri" w:cs="Calibri"/>
          <w:color w:val="000000" w:themeColor="text1"/>
          <w:shd w:val="clear" w:color="auto" w:fill="FFFFFF"/>
        </w:rPr>
      </w:pPr>
      <w:r w:rsidRPr="00A76818">
        <w:rPr>
          <w:rFonts w:ascii="Calibri" w:hAnsi="Calibri" w:cs="Calibri"/>
          <w:color w:val="000000" w:themeColor="text1"/>
          <w:shd w:val="clear" w:color="auto" w:fill="FFFFFF"/>
        </w:rPr>
        <w:t xml:space="preserve">A Homeless Management Information System (HMIS) is a local information technology system used to collect client-level data and data on the provision of housing and services to homeless households and households at risk of homelessness. Each Continuum of Care is responsible for selecting an HMIS software solution that complies with HUD's data collection, management, and reporting standards. </w:t>
      </w:r>
    </w:p>
    <w:p w14:paraId="247FCF51" w14:textId="77777777" w:rsidR="00F80BC0" w:rsidRDefault="00F80BC0" w:rsidP="00F80BC0">
      <w:pPr>
        <w:contextualSpacing/>
        <w:rPr>
          <w:rFonts w:ascii="Calibri" w:hAnsi="Calibri" w:cs="Calibri"/>
          <w:color w:val="000000" w:themeColor="text1"/>
        </w:rPr>
      </w:pPr>
    </w:p>
    <w:p w14:paraId="56411E6E"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t>Home Safe</w:t>
      </w:r>
    </w:p>
    <w:p w14:paraId="1B395128" w14:textId="77777777" w:rsidR="00F80BC0" w:rsidRDefault="00F80BC0" w:rsidP="00F80BC0">
      <w:pPr>
        <w:pStyle w:val="NormalWeb"/>
        <w:shd w:val="clear" w:color="auto" w:fill="FFFFFF"/>
        <w:spacing w:before="0" w:beforeAutospacing="0" w:after="0" w:afterAutospacing="0"/>
        <w:contextualSpacing/>
        <w:textAlignment w:val="baseline"/>
        <w:rPr>
          <w:rFonts w:ascii="Calibri" w:hAnsi="Calibri" w:cs="Calibri"/>
          <w:color w:val="000000" w:themeColor="text1"/>
        </w:rPr>
      </w:pPr>
      <w:r w:rsidRPr="00A76818">
        <w:rPr>
          <w:rFonts w:ascii="Calibri" w:hAnsi="Calibri" w:cs="Calibri"/>
          <w:color w:val="000000" w:themeColor="text1"/>
        </w:rPr>
        <w:t>The Home Safe Program, created by Assembly Bill (AB) 1811 (Chapter 35, Statutes of 2018), is intended to support the safety and housing stability of individuals involved in Adult Protective Services (APS) by providing housing-related assistance using evidence-based practices for homeless assistance and prevention. Counties operating Home Safe programs utilize a range of strategies to support housing stability for APS clients, including short-term financial assistance, legal services, eviction prevention, heavy cleaning, and landlord mediation, among other services.</w:t>
      </w:r>
    </w:p>
    <w:p w14:paraId="00EB344A" w14:textId="77777777" w:rsidR="00F80BC0" w:rsidRDefault="00F80BC0" w:rsidP="00F80BC0">
      <w:pPr>
        <w:pStyle w:val="NormalWeb"/>
        <w:shd w:val="clear" w:color="auto" w:fill="FFFFFF"/>
        <w:spacing w:before="0" w:beforeAutospacing="0" w:after="0" w:afterAutospacing="0"/>
        <w:contextualSpacing/>
        <w:textAlignment w:val="baseline"/>
        <w:rPr>
          <w:rFonts w:ascii="Calibri" w:hAnsi="Calibri" w:cs="Calibri"/>
          <w:color w:val="000000" w:themeColor="text1"/>
        </w:rPr>
      </w:pPr>
    </w:p>
    <w:p w14:paraId="5A41BCAB" w14:textId="77777777" w:rsidR="00F80BC0" w:rsidRDefault="00F80BC0" w:rsidP="00F80BC0">
      <w:pPr>
        <w:rPr>
          <w:rFonts w:ascii="Calibri" w:hAnsi="Calibri" w:cs="Calibri"/>
          <w:u w:val="single"/>
        </w:rPr>
      </w:pPr>
      <w:r w:rsidRPr="00F25D2F">
        <w:rPr>
          <w:rFonts w:ascii="Calibri" w:hAnsi="Calibri" w:cs="Calibri"/>
          <w:u w:val="single"/>
        </w:rPr>
        <w:t>Homelessness Prevention</w:t>
      </w:r>
      <w:r>
        <w:rPr>
          <w:rFonts w:ascii="Calibri" w:hAnsi="Calibri" w:cs="Calibri"/>
          <w:u w:val="single"/>
        </w:rPr>
        <w:t xml:space="preserve"> &amp; Rapid Rehousing</w:t>
      </w:r>
    </w:p>
    <w:p w14:paraId="26EFD865" w14:textId="77777777" w:rsidR="00F80BC0" w:rsidRPr="003D267D" w:rsidRDefault="00F80BC0" w:rsidP="00F80BC0">
      <w:pPr>
        <w:rPr>
          <w:rFonts w:ascii="Calibri" w:hAnsi="Calibri"/>
          <w:color w:val="000000" w:themeColor="text1"/>
        </w:rPr>
      </w:pPr>
      <w:r>
        <w:rPr>
          <w:rFonts w:ascii="Calibri" w:hAnsi="Calibri" w:cs="Calibri"/>
          <w:color w:val="000000" w:themeColor="text1"/>
        </w:rPr>
        <w:t>F</w:t>
      </w:r>
      <w:r w:rsidRPr="0041284A">
        <w:rPr>
          <w:rFonts w:ascii="Calibri" w:hAnsi="Calibri" w:cs="Calibri"/>
          <w:color w:val="000000" w:themeColor="text1"/>
        </w:rPr>
        <w:t xml:space="preserve">unding is used to provide short- and medium-term rental assistance and other housing services in order to prevent a household from becoming literally homeless. Homeless prevention funds help households regain stability in their current permanent housing or </w:t>
      </w:r>
      <w:r w:rsidRPr="0041284A">
        <w:rPr>
          <w:rFonts w:ascii="Calibri" w:hAnsi="Calibri" w:cs="Calibri"/>
          <w:color w:val="000000" w:themeColor="text1"/>
        </w:rPr>
        <w:lastRenderedPageBreak/>
        <w:t xml:space="preserve">move into other permanent housing and achieve stability in that housing without a period of literal homelessness. </w:t>
      </w:r>
      <w:r>
        <w:rPr>
          <w:rFonts w:ascii="Calibri" w:hAnsi="Calibri" w:cs="Calibri"/>
          <w:b/>
          <w:bCs/>
          <w:i/>
          <w:iCs/>
          <w:color w:val="000000" w:themeColor="text1"/>
        </w:rPr>
        <w:t xml:space="preserve">Forms and Handbook are on the website: </w:t>
      </w:r>
      <w:r>
        <w:rPr>
          <w:rFonts w:ascii="Calibri" w:hAnsi="Calibri" w:cs="Calibri"/>
          <w:color w:val="000000" w:themeColor="text1"/>
        </w:rPr>
        <w:t>centralsierracoc.org.</w:t>
      </w:r>
    </w:p>
    <w:p w14:paraId="5A4D6BB0" w14:textId="77777777" w:rsidR="00F80BC0" w:rsidRPr="00F25D2F" w:rsidRDefault="00F80BC0" w:rsidP="00F80BC0">
      <w:pPr>
        <w:rPr>
          <w:rFonts w:ascii="Calibri" w:hAnsi="Calibri" w:cs="Calibri"/>
          <w:u w:val="single"/>
        </w:rPr>
      </w:pPr>
    </w:p>
    <w:p w14:paraId="67292656" w14:textId="77777777" w:rsidR="00F80BC0" w:rsidRDefault="00F80BC0" w:rsidP="00F80BC0">
      <w:pPr>
        <w:rPr>
          <w:rFonts w:ascii="Calibri" w:hAnsi="Calibri" w:cs="Calibri"/>
        </w:rPr>
      </w:pPr>
      <w:r w:rsidRPr="00EE1DEE">
        <w:rPr>
          <w:rFonts w:ascii="Calibri" w:hAnsi="Calibri" w:cs="Calibri"/>
        </w:rPr>
        <w:t xml:space="preserve">CSCoC has implemented </w:t>
      </w:r>
      <w:r>
        <w:rPr>
          <w:rFonts w:ascii="Calibri" w:hAnsi="Calibri" w:cs="Calibri"/>
        </w:rPr>
        <w:t>these Written Standards</w:t>
      </w:r>
      <w:r w:rsidRPr="00EE1DEE">
        <w:rPr>
          <w:rFonts w:ascii="Calibri" w:hAnsi="Calibri" w:cs="Calibri"/>
        </w:rPr>
        <w:t xml:space="preserve"> for determining and prioritizing which eligible families and individuals will receive homelessness prevention assistance and which eligible families and individuals will receive RRH assistance.  CSCoC</w:t>
      </w:r>
      <w:r>
        <w:rPr>
          <w:rFonts w:ascii="Calibri" w:hAnsi="Calibri" w:cs="Calibri"/>
        </w:rPr>
        <w:t xml:space="preserve"> has</w:t>
      </w:r>
      <w:r w:rsidRPr="00EE1DEE">
        <w:rPr>
          <w:rFonts w:ascii="Calibri" w:hAnsi="Calibri" w:cs="Calibri"/>
        </w:rPr>
        <w:t xml:space="preserve"> update</w:t>
      </w:r>
      <w:r>
        <w:rPr>
          <w:rFonts w:ascii="Calibri" w:hAnsi="Calibri" w:cs="Calibri"/>
        </w:rPr>
        <w:t>d</w:t>
      </w:r>
      <w:r w:rsidRPr="00EE1DEE">
        <w:rPr>
          <w:rFonts w:ascii="Calibri" w:hAnsi="Calibri" w:cs="Calibri"/>
        </w:rPr>
        <w:t xml:space="preserve"> prioritization policies to house people at severe risk of contracting COVID-19.</w:t>
      </w:r>
    </w:p>
    <w:p w14:paraId="30B0A48F" w14:textId="77777777" w:rsidR="00F80BC0" w:rsidRPr="00EE1DEE" w:rsidRDefault="00F80BC0" w:rsidP="00F80BC0">
      <w:pPr>
        <w:rPr>
          <w:rFonts w:ascii="Calibri" w:hAnsi="Calibri" w:cs="Calibri"/>
        </w:rPr>
      </w:pPr>
    </w:p>
    <w:p w14:paraId="03A5CA55" w14:textId="77777777" w:rsidR="00F80BC0" w:rsidRDefault="00F80BC0" w:rsidP="00F80BC0">
      <w:pPr>
        <w:pStyle w:val="Default"/>
        <w:rPr>
          <w:rFonts w:ascii="Calibri" w:hAnsi="Calibri" w:cs="Calibri"/>
        </w:rPr>
      </w:pPr>
      <w:r w:rsidRPr="00EE1DEE">
        <w:rPr>
          <w:rFonts w:ascii="Calibri" w:hAnsi="Calibri" w:cs="Calibri"/>
        </w:rPr>
        <w:t>CSCoC prioritize</w:t>
      </w:r>
      <w:r>
        <w:rPr>
          <w:rFonts w:ascii="Calibri" w:hAnsi="Calibri" w:cs="Calibri"/>
        </w:rPr>
        <w:t>s</w:t>
      </w:r>
      <w:r w:rsidRPr="00EE1DEE">
        <w:rPr>
          <w:rFonts w:ascii="Calibri" w:hAnsi="Calibri" w:cs="Calibri"/>
        </w:rPr>
        <w:t xml:space="preserve"> the use of ESG-CV funds for proven strategies, especially RRH for those experiencing homelessness.  The CES prioritize</w:t>
      </w:r>
      <w:r>
        <w:rPr>
          <w:rFonts w:ascii="Calibri" w:hAnsi="Calibri" w:cs="Calibri"/>
        </w:rPr>
        <w:t>s</w:t>
      </w:r>
      <w:r w:rsidRPr="00EE1DEE">
        <w:rPr>
          <w:rFonts w:ascii="Calibri" w:hAnsi="Calibri" w:cs="Calibri"/>
        </w:rPr>
        <w:t xml:space="preserve"> placement in ESG-CV-funded RRH programs for people who meet the state’s protective health order that provides non-congregate shelter to protect people experiencing homelessness from becoming seriously ill from COVID-19.  The protective health order outlines a variety of eligibility factors for non-congregate shelter.  </w:t>
      </w:r>
    </w:p>
    <w:p w14:paraId="0A4FE431" w14:textId="77777777" w:rsidR="00F80BC0" w:rsidRPr="00EE1DEE" w:rsidRDefault="00F80BC0" w:rsidP="00F80BC0">
      <w:pPr>
        <w:pStyle w:val="Default"/>
        <w:rPr>
          <w:rFonts w:ascii="Calibri" w:hAnsi="Calibri" w:cs="Calibri"/>
        </w:rPr>
      </w:pPr>
    </w:p>
    <w:p w14:paraId="35F1DFF4" w14:textId="77777777" w:rsidR="00F80BC0" w:rsidRDefault="00F80BC0" w:rsidP="00F80BC0">
      <w:pPr>
        <w:pStyle w:val="Default"/>
        <w:rPr>
          <w:rFonts w:ascii="Calibri" w:hAnsi="Calibri" w:cs="Calibri"/>
        </w:rPr>
      </w:pPr>
      <w:r w:rsidRPr="00EE1DEE">
        <w:rPr>
          <w:rFonts w:ascii="Calibri" w:hAnsi="Calibri" w:cs="Calibri"/>
        </w:rPr>
        <w:t xml:space="preserve">CSCoC maintains standards for determining what percentage or amount of rent and utilities costs each program participant must pay while receiving homelessness prevention or RRH assistance.  CSCoC </w:t>
      </w:r>
      <w:r>
        <w:rPr>
          <w:rFonts w:ascii="Calibri" w:hAnsi="Calibri" w:cs="Calibri"/>
        </w:rPr>
        <w:t>updated these</w:t>
      </w:r>
      <w:r w:rsidRPr="00EE1DEE">
        <w:rPr>
          <w:rFonts w:ascii="Calibri" w:hAnsi="Calibri" w:cs="Calibri"/>
        </w:rPr>
        <w:t xml:space="preserve"> written standards to provide opportunities to address the economic impact of COVID-19</w:t>
      </w:r>
      <w:r>
        <w:rPr>
          <w:rFonts w:ascii="Calibri" w:hAnsi="Calibri" w:cs="Calibri"/>
        </w:rPr>
        <w:t>, as permitted by ESG-CV</w:t>
      </w:r>
      <w:r w:rsidRPr="00EE1DEE">
        <w:rPr>
          <w:rFonts w:ascii="Calibri" w:hAnsi="Calibri" w:cs="Calibri"/>
        </w:rPr>
        <w:t>.</w:t>
      </w:r>
      <w:r>
        <w:rPr>
          <w:rFonts w:ascii="Calibri" w:hAnsi="Calibri" w:cs="Calibri"/>
        </w:rPr>
        <w:t xml:space="preserve">  </w:t>
      </w:r>
      <w:r w:rsidRPr="00EE1DEE">
        <w:rPr>
          <w:rFonts w:ascii="Calibri" w:hAnsi="Calibri" w:cs="Calibri"/>
        </w:rPr>
        <w:t>Under the CARES Act ESG-CV funding, there will be no rental payment requirement for households receiving financial assistance.  Projects funded serve people with zero income.</w:t>
      </w:r>
    </w:p>
    <w:p w14:paraId="1B29574E" w14:textId="77777777" w:rsidR="00F80BC0" w:rsidRDefault="00F80BC0" w:rsidP="00F80BC0">
      <w:pPr>
        <w:pStyle w:val="Default"/>
        <w:rPr>
          <w:rFonts w:ascii="Calibri" w:hAnsi="Calibri" w:cs="Calibri"/>
        </w:rPr>
      </w:pPr>
    </w:p>
    <w:p w14:paraId="1C06FFA3"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t>Household</w:t>
      </w:r>
    </w:p>
    <w:p w14:paraId="5389E1D0" w14:textId="77777777" w:rsidR="00F80BC0" w:rsidRPr="00A76818" w:rsidRDefault="00F80BC0" w:rsidP="00F80BC0">
      <w:pPr>
        <w:contextualSpacing/>
        <w:rPr>
          <w:rFonts w:ascii="Calibri" w:hAnsi="Calibri" w:cs="Calibri"/>
          <w:color w:val="000000" w:themeColor="text1"/>
        </w:rPr>
      </w:pPr>
      <w:r w:rsidRPr="00A76818">
        <w:rPr>
          <w:rFonts w:ascii="Calibri" w:hAnsi="Calibri" w:cs="Calibri"/>
          <w:color w:val="000000" w:themeColor="text1"/>
        </w:rPr>
        <w:t xml:space="preserve">The term “household” refers to and encompasses any configuration of a person or persons in need, whatever their age or number (adults, youth, or children; singles or couples, with or without children). At a minimum, a household can consist of one individual. </w:t>
      </w:r>
    </w:p>
    <w:p w14:paraId="6BA8BAFB" w14:textId="77777777" w:rsidR="00F80BC0" w:rsidRPr="00A76818" w:rsidRDefault="00F80BC0" w:rsidP="00F80BC0">
      <w:pPr>
        <w:contextualSpacing/>
        <w:rPr>
          <w:rFonts w:ascii="Calibri" w:hAnsi="Calibri" w:cs="Calibri"/>
          <w:color w:val="000000" w:themeColor="text1"/>
        </w:rPr>
      </w:pPr>
    </w:p>
    <w:p w14:paraId="431A27E5"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t>Housing First</w:t>
      </w:r>
    </w:p>
    <w:p w14:paraId="5D7947A5" w14:textId="77777777" w:rsidR="00F80BC0" w:rsidRPr="00A76818" w:rsidRDefault="00F80BC0" w:rsidP="00F80BC0">
      <w:pPr>
        <w:contextualSpacing/>
        <w:rPr>
          <w:rFonts w:ascii="Calibri" w:hAnsi="Calibri" w:cs="Calibri"/>
          <w:color w:val="000000" w:themeColor="text1"/>
        </w:rPr>
      </w:pPr>
      <w:r w:rsidRPr="00A76818">
        <w:rPr>
          <w:rFonts w:ascii="Calibri" w:hAnsi="Calibri" w:cs="Calibri"/>
          <w:color w:val="000000" w:themeColor="text1"/>
        </w:rPr>
        <w:t>Housing First is an approach in which housing is offered to people experiencing homelessness without preconditions (such as sobriety, mental health treatment, or a minimum income threshold) or service participation requirements and in which rapid placement and stabilization in permanent housing are primary goals. The idea behind Housing First is to move those who need a home directly into one and then address the issues that led to the homelessness. These issues can range from poverty to mental illness to drug addiction to domestic violence. According to the</w:t>
      </w:r>
      <w:r>
        <w:rPr>
          <w:rFonts w:ascii="Calibri" w:hAnsi="Calibri" w:cs="Calibri"/>
          <w:color w:val="000000" w:themeColor="text1"/>
        </w:rPr>
        <w:t xml:space="preserve"> </w:t>
      </w:r>
      <w:hyperlink r:id="rId17" w:tgtFrame="_blank" w:history="1">
        <w:r w:rsidRPr="00A76818">
          <w:rPr>
            <w:rFonts w:ascii="Calibri" w:hAnsi="Calibri" w:cs="Calibri"/>
            <w:color w:val="000000" w:themeColor="text1"/>
          </w:rPr>
          <w:t>National Alliance to End Homelessness</w:t>
        </w:r>
      </w:hyperlink>
      <w:r w:rsidRPr="00A76818">
        <w:rPr>
          <w:rFonts w:ascii="Calibri" w:hAnsi="Calibri" w:cs="Calibri"/>
          <w:color w:val="000000" w:themeColor="text1"/>
        </w:rPr>
        <w:t>, social services to enhance individual and family wellbeing can often be more effective when people are in their own homes. According to the</w:t>
      </w:r>
      <w:r>
        <w:rPr>
          <w:rFonts w:ascii="Calibri" w:hAnsi="Calibri" w:cs="Calibri"/>
          <w:color w:val="000000" w:themeColor="text1"/>
        </w:rPr>
        <w:t xml:space="preserve"> </w:t>
      </w:r>
      <w:hyperlink r:id="rId18" w:tgtFrame="_blank" w:history="1">
        <w:r w:rsidRPr="00A76818">
          <w:rPr>
            <w:rFonts w:ascii="Calibri" w:hAnsi="Calibri" w:cs="Calibri"/>
            <w:color w:val="000000" w:themeColor="text1"/>
          </w:rPr>
          <w:t>National Alliance to End Homelessness</w:t>
        </w:r>
      </w:hyperlink>
      <w:r w:rsidRPr="00A76818">
        <w:rPr>
          <w:rFonts w:ascii="Calibri" w:hAnsi="Calibri" w:cs="Calibri"/>
          <w:color w:val="000000" w:themeColor="text1"/>
        </w:rPr>
        <w:t>, social services to enhance individual and family wellbeing can often be more effective when people are in their own homes. </w:t>
      </w:r>
    </w:p>
    <w:p w14:paraId="10BE5B69" w14:textId="77777777" w:rsidR="00F80BC0" w:rsidRPr="00A76818" w:rsidRDefault="00F80BC0" w:rsidP="00F80BC0">
      <w:pPr>
        <w:contextualSpacing/>
        <w:rPr>
          <w:rFonts w:ascii="Calibri" w:hAnsi="Calibri" w:cs="Calibri"/>
          <w:color w:val="000000" w:themeColor="text1"/>
        </w:rPr>
      </w:pPr>
    </w:p>
    <w:p w14:paraId="71C59625"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t>Housing Stability Plan</w:t>
      </w:r>
    </w:p>
    <w:p w14:paraId="441E02D3" w14:textId="77777777" w:rsidR="00F80BC0" w:rsidRDefault="00F80BC0" w:rsidP="00F80BC0">
      <w:pPr>
        <w:contextualSpacing/>
        <w:rPr>
          <w:rFonts w:ascii="Calibri" w:hAnsi="Calibri" w:cs="Calibri"/>
          <w:color w:val="000000" w:themeColor="text1"/>
        </w:rPr>
      </w:pPr>
      <w:r w:rsidRPr="00A76818">
        <w:rPr>
          <w:rFonts w:ascii="Calibri" w:hAnsi="Calibri" w:cs="Calibri"/>
          <w:color w:val="000000" w:themeColor="text1"/>
        </w:rPr>
        <w:t xml:space="preserve">Service providers must work collaboratively with each household to complete a Housing Stability Plan. Through filling out the Housing Stability Plan, each household participates in identifying realistic short-term and long-term goals that will ultimately result </w:t>
      </w:r>
      <w:r w:rsidRPr="00A76818">
        <w:rPr>
          <w:rFonts w:ascii="Calibri" w:hAnsi="Calibri" w:cs="Calibri"/>
          <w:color w:val="000000" w:themeColor="text1"/>
        </w:rPr>
        <w:lastRenderedPageBreak/>
        <w:t xml:space="preserve">in independent, stable permanent housing. The Housing Stability Plan should be used to help guide which resources are made available to each household and at what intensity or on what timeline (e.g., someone with a short-term goal to achieve employment may receive intensive employment supports more quickly than someone with a short-term goal to enter into a transitional housing program). The Housing Stability Plan should be revisited frequently to enforce progress and Each service provider is responsible for developing a standard template and uniform timeline for completing the Housing Stability Plan with each household. </w:t>
      </w:r>
    </w:p>
    <w:p w14:paraId="4E5F3C62" w14:textId="77777777" w:rsidR="00F80BC0" w:rsidRPr="00A76818" w:rsidRDefault="00F80BC0" w:rsidP="00F80BC0">
      <w:pPr>
        <w:contextualSpacing/>
        <w:rPr>
          <w:rFonts w:ascii="Calibri" w:hAnsi="Calibri" w:cs="Calibri"/>
          <w:color w:val="000000" w:themeColor="text1"/>
        </w:rPr>
      </w:pPr>
    </w:p>
    <w:p w14:paraId="369C4C60" w14:textId="77777777" w:rsidR="00F80BC0" w:rsidRPr="00F25D2F" w:rsidRDefault="00F80BC0" w:rsidP="00F80BC0">
      <w:pPr>
        <w:rPr>
          <w:rFonts w:ascii="Calibri" w:hAnsi="Calibri" w:cs="Calibri"/>
          <w:u w:val="single"/>
        </w:rPr>
      </w:pPr>
      <w:r w:rsidRPr="00F25D2F">
        <w:rPr>
          <w:rFonts w:ascii="Calibri" w:hAnsi="Calibri" w:cs="Calibri"/>
          <w:u w:val="single"/>
        </w:rPr>
        <w:t>Housing Relocation &amp; Stabilization</w:t>
      </w:r>
    </w:p>
    <w:p w14:paraId="252AD15F" w14:textId="77777777" w:rsidR="00F80BC0" w:rsidRPr="00EE1DEE" w:rsidRDefault="00F80BC0" w:rsidP="00F80BC0">
      <w:pPr>
        <w:rPr>
          <w:rFonts w:ascii="Calibri" w:hAnsi="Calibri" w:cs="Calibri"/>
        </w:rPr>
      </w:pPr>
      <w:r w:rsidRPr="00EE1DEE">
        <w:rPr>
          <w:rFonts w:ascii="Calibri" w:hAnsi="Calibri" w:cs="Calibri"/>
        </w:rPr>
        <w:t xml:space="preserve">CSCoC has implemented standards for determining the type, amount, and duration of housing stabilization and/or relocation services to provide to a program participant, including the limits (if any) on the homelessness prevention or RRH assistance that each program participant may receive (such as the maximum amount of assistance, maximum number of months the program participant may receive assistance, or the maximum number of times the program participant may receive assistance).  </w:t>
      </w:r>
    </w:p>
    <w:p w14:paraId="76AF02D3" w14:textId="77777777" w:rsidR="00F80BC0" w:rsidRDefault="00F80BC0" w:rsidP="00F80BC0">
      <w:pPr>
        <w:rPr>
          <w:rFonts w:ascii="Calibri" w:hAnsi="Calibri" w:cs="Calibri"/>
        </w:rPr>
      </w:pPr>
    </w:p>
    <w:p w14:paraId="330C4646" w14:textId="77777777" w:rsidR="00F80BC0" w:rsidRDefault="00F80BC0" w:rsidP="00F80BC0">
      <w:pPr>
        <w:rPr>
          <w:rFonts w:ascii="Calibri" w:hAnsi="Calibri" w:cs="Calibri"/>
        </w:rPr>
      </w:pPr>
      <w:r w:rsidRPr="00EE1DEE">
        <w:rPr>
          <w:rFonts w:ascii="Calibri" w:hAnsi="Calibri" w:cs="Calibri"/>
        </w:rPr>
        <w:t xml:space="preserve">ESG-CV funds may be used to provide housing relocation and stabilization services and short- and/or medium-term rental assistance necessary to prevent an individual or family from moving into an emergency shelter or another place described in paragraph (1) of the ‘homeless’ definition in 24 CFR 576.2. This assistance, referred to as homelessness prevention, may be provided to individuals and families who meet the criteria under the ‘at risk of homelessness’ definition, or who meet the criteria in the ‘homeless’ definition at 24 CFR 576.2 and have an annual income below 50 percent of median family income for the area, as determined by HUD.  The costs of homelessness prevention are only eligible to the extent that the assistance is necessary to help the program participant regain stability in the program participant’s current permanent housing or move into other permanent housing and achieve stability in that housing.  Homelessness prevention </w:t>
      </w:r>
      <w:r>
        <w:rPr>
          <w:rFonts w:ascii="Calibri" w:hAnsi="Calibri" w:cs="Calibri"/>
        </w:rPr>
        <w:t>is</w:t>
      </w:r>
      <w:r w:rsidRPr="00EE1DEE">
        <w:rPr>
          <w:rFonts w:ascii="Calibri" w:hAnsi="Calibri" w:cs="Calibri"/>
        </w:rPr>
        <w:t xml:space="preserve"> provided in accordance with the housing relocation and stabilization services requirements in 24 CFR 576.105, the short- and medium-term rental assistance requirements in 24 CFR 576.106, and the written standards and procedures established under 24 CFR 576.400.  ESG-CV funds may </w:t>
      </w:r>
      <w:r>
        <w:rPr>
          <w:rFonts w:ascii="Calibri" w:hAnsi="Calibri" w:cs="Calibri"/>
        </w:rPr>
        <w:t xml:space="preserve">also </w:t>
      </w:r>
      <w:r w:rsidRPr="00EE1DEE">
        <w:rPr>
          <w:rFonts w:ascii="Calibri" w:hAnsi="Calibri" w:cs="Calibri"/>
        </w:rPr>
        <w:t>be used to pay for landlord incentives that are reasonable and necessary to obtain housing for individuals and families experiencing homelessness and at risk of homelessness.</w:t>
      </w:r>
    </w:p>
    <w:p w14:paraId="78F0BB60" w14:textId="77777777" w:rsidR="00F80BC0" w:rsidRDefault="00F80BC0" w:rsidP="00F80BC0">
      <w:pPr>
        <w:rPr>
          <w:rFonts w:ascii="Calibri" w:hAnsi="Calibri" w:cs="Calibri"/>
        </w:rPr>
      </w:pPr>
    </w:p>
    <w:p w14:paraId="46514ACF"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t>HUD</w:t>
      </w:r>
    </w:p>
    <w:p w14:paraId="37AFC7A2" w14:textId="77777777" w:rsidR="00F80BC0" w:rsidRDefault="00F80BC0" w:rsidP="00F80BC0">
      <w:pPr>
        <w:contextualSpacing/>
        <w:rPr>
          <w:rFonts w:ascii="Calibri" w:hAnsi="Calibri" w:cs="Calibri"/>
          <w:color w:val="000000" w:themeColor="text1"/>
          <w:shd w:val="clear" w:color="auto" w:fill="FFFFFF"/>
        </w:rPr>
      </w:pPr>
      <w:r w:rsidRPr="00A76818">
        <w:rPr>
          <w:rFonts w:ascii="Calibri" w:hAnsi="Calibri" w:cs="Calibri"/>
          <w:color w:val="000000" w:themeColor="text1"/>
          <w:shd w:val="clear" w:color="auto" w:fill="FFFFFF"/>
        </w:rPr>
        <w:t>The Department of Housing and Urban Development (HUD) is the Federal agency responsible for national policy and programs that address America's housing needs, that improve and develop the Nation's communities, and enforce fair housing laws. HUD's business is helping create a decent home and suitable living environment for all Americans, and it has given America's communities a strong national voice at the Cabinet level.</w:t>
      </w:r>
    </w:p>
    <w:p w14:paraId="6D8A62EC" w14:textId="77777777" w:rsidR="00F80BC0" w:rsidRDefault="00F80BC0" w:rsidP="00F80BC0">
      <w:pPr>
        <w:contextualSpacing/>
        <w:rPr>
          <w:rFonts w:ascii="Calibri" w:hAnsi="Calibri" w:cs="Calibri"/>
          <w:color w:val="000000" w:themeColor="text1"/>
          <w:shd w:val="clear" w:color="auto" w:fill="FFFFFF"/>
        </w:rPr>
      </w:pPr>
    </w:p>
    <w:p w14:paraId="7101E61A"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t>Modified VI-SPDAT</w:t>
      </w:r>
    </w:p>
    <w:p w14:paraId="70E562B6" w14:textId="77777777" w:rsidR="00F80BC0" w:rsidRPr="00A76818" w:rsidRDefault="00F80BC0" w:rsidP="00F80BC0">
      <w:pPr>
        <w:contextualSpacing/>
        <w:rPr>
          <w:rFonts w:ascii="Calibri" w:hAnsi="Calibri" w:cs="Calibri"/>
          <w:color w:val="000000" w:themeColor="text1"/>
        </w:rPr>
      </w:pPr>
      <w:r w:rsidRPr="00A76818">
        <w:rPr>
          <w:rFonts w:ascii="Calibri" w:hAnsi="Calibri" w:cs="Calibri"/>
          <w:color w:val="000000" w:themeColor="text1"/>
        </w:rPr>
        <w:t xml:space="preserve">The Vulnerability Index – Service Prioritization Decision Assistance Tool (VI-SPDAT) was developed as a tool for frontline workers at agencies that work with homeless clients to prioritize which of those clients should receive assistance first. It was made in </w:t>
      </w:r>
      <w:r w:rsidRPr="00A76818">
        <w:rPr>
          <w:rFonts w:ascii="Calibri" w:hAnsi="Calibri" w:cs="Calibri"/>
          <w:color w:val="000000" w:themeColor="text1"/>
        </w:rPr>
        <w:lastRenderedPageBreak/>
        <w:t>collaboration with Community Solutions, creators of the Vulnerability Index, as a brief survey that can be conducted to create a standardized vulnerability score for households presenting for services. The CSCoC uses a modified form of the VI-SPDAT to assess the vulnerability of households in the Central Sierra geographic area.</w:t>
      </w:r>
    </w:p>
    <w:p w14:paraId="2B08D648" w14:textId="77777777" w:rsidR="00F80BC0" w:rsidRPr="00A76818" w:rsidRDefault="00F80BC0" w:rsidP="00F80BC0">
      <w:pPr>
        <w:contextualSpacing/>
        <w:rPr>
          <w:rFonts w:ascii="Calibri" w:hAnsi="Calibri" w:cs="Calibri"/>
          <w:color w:val="000000" w:themeColor="text1"/>
        </w:rPr>
      </w:pPr>
    </w:p>
    <w:p w14:paraId="0D114CDE"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t>Permanent Supportive Housing</w:t>
      </w:r>
    </w:p>
    <w:p w14:paraId="6BBEA9C7" w14:textId="77777777" w:rsidR="00F80BC0" w:rsidRPr="00A76818" w:rsidRDefault="00F80BC0" w:rsidP="00F80BC0">
      <w:pPr>
        <w:contextualSpacing/>
        <w:rPr>
          <w:rFonts w:ascii="Calibri" w:hAnsi="Calibri" w:cs="Calibri"/>
          <w:color w:val="000000" w:themeColor="text1"/>
        </w:rPr>
      </w:pPr>
      <w:r w:rsidRPr="00A76818">
        <w:rPr>
          <w:rFonts w:ascii="Calibri" w:hAnsi="Calibri" w:cs="Calibri"/>
          <w:color w:val="000000" w:themeColor="text1"/>
        </w:rPr>
        <w:t>Permanent supportive housing (PSH) is an intervention that combines affordable housing assistance with voluntary support services to address the needs of chronically homeless people. The services are designed to build independent living and tenancy skills and connect people with community-based health care, treatment and employment services. PSH is long-term housing with supportive services for homeless households with disabilities. This type of supportive housing enables special needs populations to live as independently as possible in a permanent setting.</w:t>
      </w:r>
    </w:p>
    <w:p w14:paraId="0C841BED" w14:textId="77777777" w:rsidR="00F80BC0" w:rsidRPr="00A76818" w:rsidRDefault="00F80BC0" w:rsidP="00F80BC0">
      <w:pPr>
        <w:contextualSpacing/>
        <w:rPr>
          <w:rFonts w:ascii="Calibri" w:hAnsi="Calibri" w:cs="Calibri"/>
          <w:color w:val="000000" w:themeColor="text1"/>
        </w:rPr>
      </w:pPr>
    </w:p>
    <w:p w14:paraId="4330047A"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t>Prioritization</w:t>
      </w:r>
    </w:p>
    <w:p w14:paraId="24288AB3" w14:textId="77777777" w:rsidR="00F80BC0" w:rsidRPr="00A76818" w:rsidRDefault="00F80BC0" w:rsidP="00F80BC0">
      <w:pPr>
        <w:contextualSpacing/>
        <w:rPr>
          <w:rFonts w:ascii="Calibri" w:hAnsi="Calibri" w:cs="Calibri"/>
          <w:color w:val="000000" w:themeColor="text1"/>
        </w:rPr>
      </w:pPr>
      <w:r w:rsidRPr="00A76818">
        <w:rPr>
          <w:rFonts w:ascii="Calibri" w:hAnsi="Calibri" w:cs="Calibri"/>
          <w:color w:val="000000" w:themeColor="text1"/>
        </w:rPr>
        <w:t>Prioritization is the process by which all households in need of assistance who use coordinated entry are ranked in order of priority, in accordance with written standards established under 24 CFR § 547.400(e). In addition, the coordinated entry process shall, to the maximum extent feasible, ensure that households with more severe service needs and levels of vulnerability are prioritized for housing and homeless assistance before those with less severe service needs and lower levels of vulnerability. This phase helps the CSCoC manage its inventory of projects, ensuring that those households with the greatest need and vulnerability receive the supports they need to resolve their housing crisis.</w:t>
      </w:r>
    </w:p>
    <w:p w14:paraId="425DA85A" w14:textId="77777777" w:rsidR="00F80BC0" w:rsidRPr="00A76818" w:rsidRDefault="00F80BC0" w:rsidP="00F80BC0">
      <w:pPr>
        <w:contextualSpacing/>
        <w:rPr>
          <w:rFonts w:ascii="Calibri" w:hAnsi="Calibri" w:cs="Calibri"/>
          <w:color w:val="000000" w:themeColor="text1"/>
        </w:rPr>
      </w:pPr>
    </w:p>
    <w:p w14:paraId="1E106ECC" w14:textId="77777777" w:rsidR="00F80BC0" w:rsidRPr="003D267D" w:rsidRDefault="00F80BC0" w:rsidP="00F80BC0">
      <w:pPr>
        <w:contextualSpacing/>
        <w:rPr>
          <w:rFonts w:ascii="Calibri" w:hAnsi="Calibri" w:cs="Calibri"/>
          <w:color w:val="000000" w:themeColor="text1"/>
          <w:u w:val="single"/>
        </w:rPr>
      </w:pPr>
      <w:r w:rsidRPr="003D267D">
        <w:rPr>
          <w:rFonts w:ascii="Calibri" w:hAnsi="Calibri" w:cs="Calibri"/>
          <w:color w:val="000000" w:themeColor="text1"/>
          <w:u w:val="single"/>
        </w:rPr>
        <w:t>Program Income</w:t>
      </w:r>
    </w:p>
    <w:p w14:paraId="77774360" w14:textId="77777777" w:rsidR="00F80BC0" w:rsidRDefault="00F80BC0" w:rsidP="00F80BC0">
      <w:pPr>
        <w:contextualSpacing/>
        <w:rPr>
          <w:rFonts w:ascii="Calibri" w:hAnsi="Calibri" w:cs="Calibri"/>
          <w:color w:val="000000" w:themeColor="text1"/>
          <w:u w:val="single"/>
        </w:rPr>
      </w:pPr>
      <w:r w:rsidRPr="003D267D">
        <w:rPr>
          <w:rFonts w:ascii="Calibri" w:hAnsi="Calibri" w:cs="Calibri"/>
        </w:rPr>
        <w:t>Program income includes any amount of a security or utility deposit returned to the recipient or sub addition to the non-profit organization’s grant, provided that the program income is used in accordance with the purposes and conditions of that grant or sub grant. Otherwise, program income will be deducted from allowable costs as provided by 2 CFR 200.307(e)(1). Costs that are incidental to generating program income and not charged to the ESG-CV sub grant may be deducted from gross income to determine program income, as allowed under 2 CFR 200.307(b).</w:t>
      </w:r>
    </w:p>
    <w:p w14:paraId="3560ADB7" w14:textId="77777777" w:rsidR="00F80BC0" w:rsidRDefault="00F80BC0" w:rsidP="00F80BC0">
      <w:pPr>
        <w:contextualSpacing/>
        <w:rPr>
          <w:rFonts w:ascii="Calibri" w:hAnsi="Calibri" w:cs="Calibri"/>
          <w:color w:val="000000" w:themeColor="text1"/>
          <w:u w:val="single"/>
        </w:rPr>
      </w:pPr>
    </w:p>
    <w:p w14:paraId="58F5186D"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t>Projects</w:t>
      </w:r>
    </w:p>
    <w:p w14:paraId="4DB6EA5C" w14:textId="77777777" w:rsidR="00F80BC0" w:rsidRPr="00A76818" w:rsidRDefault="00F80BC0" w:rsidP="00F80BC0">
      <w:pPr>
        <w:contextualSpacing/>
        <w:rPr>
          <w:rFonts w:ascii="Calibri" w:hAnsi="Calibri" w:cs="Calibri"/>
          <w:color w:val="000000" w:themeColor="text1"/>
        </w:rPr>
      </w:pPr>
      <w:r w:rsidRPr="00A76818">
        <w:rPr>
          <w:rFonts w:ascii="Calibri" w:hAnsi="Calibri" w:cs="Calibri"/>
          <w:color w:val="000000" w:themeColor="text1"/>
        </w:rPr>
        <w:t>All community housing resources and services intended to help a household rapidly exit homelessness are referred to as projects.</w:t>
      </w:r>
    </w:p>
    <w:p w14:paraId="7D49A050" w14:textId="77777777" w:rsidR="00F80BC0" w:rsidRPr="00A76818" w:rsidRDefault="00F80BC0" w:rsidP="00F80BC0">
      <w:pPr>
        <w:contextualSpacing/>
        <w:rPr>
          <w:rFonts w:ascii="Calibri" w:hAnsi="Calibri" w:cs="Calibri"/>
          <w:color w:val="000000" w:themeColor="text1"/>
        </w:rPr>
      </w:pPr>
    </w:p>
    <w:p w14:paraId="0C98158D" w14:textId="77777777" w:rsidR="00F80BC0" w:rsidRPr="00F25D2F" w:rsidRDefault="00F80BC0" w:rsidP="00F80BC0">
      <w:pPr>
        <w:pStyle w:val="Default"/>
        <w:rPr>
          <w:rFonts w:ascii="Calibri" w:hAnsi="Calibri" w:cs="Calibri"/>
          <w:u w:val="single"/>
        </w:rPr>
      </w:pPr>
      <w:r w:rsidRPr="00F25D2F">
        <w:rPr>
          <w:rFonts w:ascii="Calibri" w:hAnsi="Calibri" w:cs="Calibri"/>
          <w:u w:val="single"/>
        </w:rPr>
        <w:t>Race Equity</w:t>
      </w:r>
    </w:p>
    <w:p w14:paraId="417F78B2" w14:textId="77777777" w:rsidR="00F80BC0" w:rsidRDefault="00F80BC0" w:rsidP="00F80BC0">
      <w:pPr>
        <w:pStyle w:val="Default"/>
        <w:rPr>
          <w:rFonts w:ascii="Calibri" w:hAnsi="Calibri" w:cs="Calibri"/>
        </w:rPr>
      </w:pPr>
      <w:r w:rsidRPr="00EE1DEE">
        <w:rPr>
          <w:rFonts w:ascii="Calibri" w:hAnsi="Calibri" w:cs="Calibri"/>
        </w:rPr>
        <w:t>Based on race equity analysis, CSCoC target</w:t>
      </w:r>
      <w:r>
        <w:rPr>
          <w:rFonts w:ascii="Calibri" w:hAnsi="Calibri" w:cs="Calibri"/>
        </w:rPr>
        <w:t>s</w:t>
      </w:r>
      <w:r w:rsidRPr="00EE1DEE">
        <w:rPr>
          <w:rFonts w:ascii="Calibri" w:hAnsi="Calibri" w:cs="Calibri"/>
        </w:rPr>
        <w:t xml:space="preserve"> prevention services to marginalized areas of the service area.  These areas serve disproportionally large communities of Black, Indigenous, and people of color who experience homelessness.  They have been historically underserved and had poor access to permanent housing solutions offered by the homeless response system. </w:t>
      </w:r>
    </w:p>
    <w:p w14:paraId="52462086" w14:textId="77777777" w:rsidR="00F80BC0" w:rsidRDefault="00F80BC0" w:rsidP="00F80BC0">
      <w:pPr>
        <w:pStyle w:val="Default"/>
        <w:rPr>
          <w:rFonts w:ascii="Calibri" w:hAnsi="Calibri" w:cs="Calibri"/>
        </w:rPr>
      </w:pPr>
    </w:p>
    <w:p w14:paraId="675AA90B"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lastRenderedPageBreak/>
        <w:t>Rapid Re-Housing</w:t>
      </w:r>
    </w:p>
    <w:p w14:paraId="1C13E836" w14:textId="77777777" w:rsidR="00F80BC0" w:rsidRPr="00A76818" w:rsidRDefault="00F80BC0" w:rsidP="00F80BC0">
      <w:pPr>
        <w:contextualSpacing/>
        <w:rPr>
          <w:rFonts w:ascii="Calibri" w:hAnsi="Calibri" w:cs="Calibri"/>
          <w:color w:val="000000" w:themeColor="text1"/>
        </w:rPr>
      </w:pPr>
      <w:r w:rsidRPr="00A76818">
        <w:rPr>
          <w:rFonts w:ascii="Calibri" w:hAnsi="Calibri" w:cs="Calibri"/>
          <w:color w:val="000000" w:themeColor="text1"/>
        </w:rPr>
        <w:t>Rapid re-housing (RR) is an intervention designed to help individuals and families that don't need intensive and ongoing supports to quickly exit homelessness and return to permanent housing. Rapid re-housing assistance is offered without preconditions and the resources and services provided are tailored to the unique needs of the household.</w:t>
      </w:r>
    </w:p>
    <w:p w14:paraId="42C01198" w14:textId="77777777" w:rsidR="00F80BC0" w:rsidRDefault="00F80BC0" w:rsidP="00F80BC0">
      <w:pPr>
        <w:rPr>
          <w:rFonts w:ascii="Calibri" w:hAnsi="Calibri" w:cs="Calibri"/>
          <w:u w:val="single"/>
        </w:rPr>
      </w:pPr>
    </w:p>
    <w:p w14:paraId="5D6FD3FA"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t>Referral</w:t>
      </w:r>
    </w:p>
    <w:p w14:paraId="2623FCE8" w14:textId="77777777" w:rsidR="00F80BC0" w:rsidRPr="00A76818" w:rsidRDefault="00F80BC0" w:rsidP="00F80BC0">
      <w:pPr>
        <w:contextualSpacing/>
        <w:rPr>
          <w:rFonts w:ascii="Calibri" w:hAnsi="Calibri" w:cs="Calibri"/>
          <w:color w:val="000000" w:themeColor="text1"/>
        </w:rPr>
      </w:pPr>
      <w:r w:rsidRPr="00A76818">
        <w:rPr>
          <w:rFonts w:ascii="Calibri" w:hAnsi="Calibri" w:cs="Calibri"/>
          <w:color w:val="000000" w:themeColor="text1"/>
        </w:rPr>
        <w:t>Households are referred to available CSCoC housing resources and services in accordance with the CSCoC’s documented prioritization guidelines.</w:t>
      </w:r>
    </w:p>
    <w:p w14:paraId="4DAA1703" w14:textId="77777777" w:rsidR="00F80BC0" w:rsidRPr="00A76818" w:rsidRDefault="00F80BC0" w:rsidP="00F80BC0">
      <w:pPr>
        <w:contextualSpacing/>
        <w:rPr>
          <w:rFonts w:ascii="Calibri" w:hAnsi="Calibri" w:cs="Calibri"/>
          <w:color w:val="000000" w:themeColor="text1"/>
        </w:rPr>
      </w:pPr>
    </w:p>
    <w:p w14:paraId="1141B9EA"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t>Scoring</w:t>
      </w:r>
    </w:p>
    <w:p w14:paraId="21860819" w14:textId="77777777" w:rsidR="00F80BC0" w:rsidRPr="00A76818" w:rsidRDefault="00F80BC0" w:rsidP="00F80BC0">
      <w:pPr>
        <w:contextualSpacing/>
        <w:rPr>
          <w:rFonts w:ascii="Calibri" w:hAnsi="Calibri" w:cs="Calibri"/>
          <w:color w:val="000000" w:themeColor="text1"/>
        </w:rPr>
      </w:pPr>
      <w:r w:rsidRPr="00A76818">
        <w:rPr>
          <w:rFonts w:ascii="Calibri" w:hAnsi="Calibri" w:cs="Calibri"/>
          <w:color w:val="000000" w:themeColor="text1"/>
        </w:rPr>
        <w:t>HUD uses the term “scoring” to refer to the process of deriving an indicator of risk, vulnerability, or need based on responses to assessment questions. The output of most assessment tools is often an “Assessment Score” for potential project households, which provides a standardized analysis of risk and other objective assessment factors. While assessment scores generally reflect the factors included in the prioritization process, the assessment score alone does not necessarily determine the relative order of households for resources. Additional consideration, including use of case conferencing, is often necessary to ensure that the outcomes of the assessment more closely align with the community’s prioritization process by accounting for unique population-based vulnerabilities and risk factors.</w:t>
      </w:r>
    </w:p>
    <w:p w14:paraId="2DF16280" w14:textId="77777777" w:rsidR="00F80BC0" w:rsidRPr="00A76818" w:rsidRDefault="00F80BC0" w:rsidP="00F80BC0">
      <w:pPr>
        <w:contextualSpacing/>
        <w:rPr>
          <w:rFonts w:ascii="Calibri" w:hAnsi="Calibri" w:cs="Calibri"/>
          <w:color w:val="000000" w:themeColor="text1"/>
        </w:rPr>
      </w:pPr>
    </w:p>
    <w:p w14:paraId="205CA3EA"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t>Service Provider</w:t>
      </w:r>
    </w:p>
    <w:p w14:paraId="1D091290" w14:textId="77777777" w:rsidR="00F80BC0" w:rsidRDefault="00F80BC0" w:rsidP="00F80BC0">
      <w:pPr>
        <w:contextualSpacing/>
        <w:rPr>
          <w:rFonts w:ascii="Calibri" w:hAnsi="Calibri" w:cs="Calibri"/>
          <w:color w:val="000000" w:themeColor="text1"/>
        </w:rPr>
      </w:pPr>
      <w:r w:rsidRPr="00A76818">
        <w:rPr>
          <w:rFonts w:ascii="Calibri" w:hAnsi="Calibri" w:cs="Calibri"/>
          <w:color w:val="000000" w:themeColor="text1"/>
        </w:rPr>
        <w:t xml:space="preserve">The term service provider is used to describe ESG or CoC-funded entities, agencies, organizations, or personnel that offer and maintain projects to help households rapidly exit homelessness and participate in the CSCoC. </w:t>
      </w:r>
    </w:p>
    <w:p w14:paraId="0019EDE4" w14:textId="77777777" w:rsidR="00F80BC0" w:rsidRPr="00A76818" w:rsidRDefault="00F80BC0" w:rsidP="00F80BC0">
      <w:pPr>
        <w:contextualSpacing/>
        <w:rPr>
          <w:rFonts w:ascii="Calibri" w:hAnsi="Calibri" w:cs="Calibri"/>
          <w:color w:val="000000" w:themeColor="text1"/>
        </w:rPr>
      </w:pPr>
    </w:p>
    <w:p w14:paraId="7DC7F38E" w14:textId="77777777" w:rsidR="00F80BC0" w:rsidRPr="00F25D2F" w:rsidRDefault="00F80BC0" w:rsidP="00F80BC0">
      <w:pPr>
        <w:rPr>
          <w:rFonts w:ascii="Calibri" w:hAnsi="Calibri" w:cs="Calibri"/>
          <w:u w:val="single"/>
        </w:rPr>
      </w:pPr>
      <w:r w:rsidRPr="00F25D2F">
        <w:rPr>
          <w:rFonts w:ascii="Calibri" w:hAnsi="Calibri" w:cs="Calibri"/>
          <w:u w:val="single"/>
        </w:rPr>
        <w:t>Temporary Shelters</w:t>
      </w:r>
    </w:p>
    <w:p w14:paraId="7AD78379" w14:textId="77777777" w:rsidR="00F80BC0" w:rsidRDefault="00F80BC0" w:rsidP="00F80BC0">
      <w:pPr>
        <w:rPr>
          <w:rFonts w:ascii="Calibri" w:hAnsi="Calibri" w:cs="Calibri"/>
        </w:rPr>
      </w:pPr>
      <w:r w:rsidRPr="00EE1DEE">
        <w:rPr>
          <w:rFonts w:ascii="Calibri" w:hAnsi="Calibri" w:cs="Calibri"/>
        </w:rPr>
        <w:t xml:space="preserve">ESG-CV allows for a variety of spaces to be used as temporary shelters.  The purpose of ESG-CV funds is to prevent, prepare for, and respond to COVID-19 to prevent and mitigate the spread of COVID-19 among people experiencing homelessness and the staff that provide services to these individuals.  Existing shelters </w:t>
      </w:r>
      <w:r>
        <w:rPr>
          <w:rFonts w:ascii="Calibri" w:hAnsi="Calibri" w:cs="Calibri"/>
        </w:rPr>
        <w:t>have</w:t>
      </w:r>
      <w:r w:rsidRPr="00EE1DEE">
        <w:rPr>
          <w:rFonts w:ascii="Calibri" w:hAnsi="Calibri" w:cs="Calibri"/>
        </w:rPr>
        <w:t xml:space="preserve"> implement</w:t>
      </w:r>
      <w:r>
        <w:rPr>
          <w:rFonts w:ascii="Calibri" w:hAnsi="Calibri" w:cs="Calibri"/>
        </w:rPr>
        <w:t>ed</w:t>
      </w:r>
      <w:r w:rsidRPr="00EE1DEE">
        <w:rPr>
          <w:rFonts w:ascii="Calibri" w:hAnsi="Calibri" w:cs="Calibri"/>
        </w:rPr>
        <w:t xml:space="preserve"> public health protocols</w:t>
      </w:r>
      <w:r>
        <w:rPr>
          <w:rFonts w:ascii="Calibri" w:hAnsi="Calibri" w:cs="Calibri"/>
        </w:rPr>
        <w:t xml:space="preserve">, </w:t>
      </w:r>
      <w:proofErr w:type="gramStart"/>
      <w:r>
        <w:rPr>
          <w:rFonts w:ascii="Calibri" w:hAnsi="Calibri" w:cs="Calibri"/>
        </w:rPr>
        <w:t>including:</w:t>
      </w:r>
      <w:proofErr w:type="gramEnd"/>
      <w:r>
        <w:rPr>
          <w:rFonts w:ascii="Calibri" w:hAnsi="Calibri" w:cs="Calibri"/>
        </w:rPr>
        <w:t xml:space="preserve"> </w:t>
      </w:r>
      <w:r w:rsidRPr="00EE1DEE">
        <w:rPr>
          <w:rFonts w:ascii="Calibri" w:hAnsi="Calibri" w:cs="Calibri"/>
        </w:rPr>
        <w:t xml:space="preserve">enforcing social distancing, establishing an isolation space, using personal protective equipment (PPE), and cleaning/disinfecting shared and living spaces.  </w:t>
      </w:r>
      <w:r>
        <w:rPr>
          <w:rFonts w:ascii="Calibri" w:hAnsi="Calibri" w:cs="Calibri"/>
        </w:rPr>
        <w:t xml:space="preserve">In the event </w:t>
      </w:r>
      <w:r w:rsidRPr="00EE1DEE">
        <w:rPr>
          <w:rFonts w:ascii="Calibri" w:hAnsi="Calibri" w:cs="Calibri"/>
        </w:rPr>
        <w:t>existing shelters are not available or where current shelters are not able to implement these safety protocols, additional space</w:t>
      </w:r>
      <w:r>
        <w:rPr>
          <w:rFonts w:ascii="Calibri" w:hAnsi="Calibri" w:cs="Calibri"/>
        </w:rPr>
        <w:t>s</w:t>
      </w:r>
      <w:r w:rsidRPr="00EE1DEE">
        <w:rPr>
          <w:rFonts w:ascii="Calibri" w:hAnsi="Calibri" w:cs="Calibri"/>
        </w:rPr>
        <w:t xml:space="preserve"> may be identified to allow people to have shelter while staying as healthy as possible. </w:t>
      </w:r>
    </w:p>
    <w:p w14:paraId="38DBAE5F" w14:textId="77777777" w:rsidR="00F80BC0" w:rsidRDefault="00F80BC0" w:rsidP="00F80BC0">
      <w:pPr>
        <w:rPr>
          <w:rFonts w:ascii="Calibri" w:hAnsi="Calibri" w:cs="Calibri"/>
        </w:rPr>
      </w:pPr>
    </w:p>
    <w:p w14:paraId="5EBD3E43" w14:textId="77777777" w:rsidR="00F80BC0" w:rsidRPr="00EE1DEE" w:rsidRDefault="00F80BC0" w:rsidP="00F80BC0">
      <w:pPr>
        <w:rPr>
          <w:rFonts w:ascii="Calibri" w:hAnsi="Calibri" w:cs="Calibri"/>
        </w:rPr>
      </w:pPr>
      <w:r w:rsidRPr="00EE1DEE">
        <w:rPr>
          <w:rFonts w:ascii="Calibri" w:hAnsi="Calibri" w:cs="Calibri"/>
        </w:rPr>
        <w:t xml:space="preserve">This may be space within an existing shelter (e.g., an office not being used) that could be temporarily converted into a quarantine space for someone who has tested positive or is awaiting test results, or it could be an entirely separate building.  Eligible shelter spaces may include public spaces, pop up or modular structures in compliance with </w:t>
      </w:r>
      <w:hyperlink r:id="rId19" w:history="1">
        <w:r w:rsidRPr="00EE1DEE">
          <w:rPr>
            <w:rStyle w:val="Hyperlink"/>
            <w:rFonts w:ascii="Calibri" w:hAnsi="Calibri" w:cs="Calibri"/>
          </w:rPr>
          <w:t>U.S. Department of Housing and Urban Development (HUD) guidance</w:t>
        </w:r>
      </w:hyperlink>
      <w:r w:rsidRPr="00EE1DEE">
        <w:rPr>
          <w:rFonts w:ascii="Calibri" w:hAnsi="Calibri" w:cs="Calibri"/>
        </w:rPr>
        <w:t xml:space="preserve">.  </w:t>
      </w:r>
    </w:p>
    <w:p w14:paraId="1D0A82AF" w14:textId="77777777" w:rsidR="00F80BC0" w:rsidRPr="00A76818" w:rsidRDefault="00F80BC0" w:rsidP="00F80BC0">
      <w:pPr>
        <w:contextualSpacing/>
        <w:rPr>
          <w:rFonts w:ascii="Calibri" w:hAnsi="Calibri" w:cs="Calibri"/>
          <w:color w:val="000000" w:themeColor="text1"/>
          <w:u w:val="single"/>
        </w:rPr>
      </w:pPr>
      <w:r w:rsidRPr="00A76818">
        <w:rPr>
          <w:rFonts w:ascii="Calibri" w:hAnsi="Calibri" w:cs="Calibri"/>
          <w:color w:val="000000" w:themeColor="text1"/>
          <w:u w:val="single"/>
        </w:rPr>
        <w:lastRenderedPageBreak/>
        <w:t>Transitional Housing</w:t>
      </w:r>
    </w:p>
    <w:p w14:paraId="37442E18" w14:textId="77777777" w:rsidR="00F80BC0" w:rsidRPr="00A76818" w:rsidRDefault="00F80BC0" w:rsidP="00F80BC0">
      <w:pPr>
        <w:contextualSpacing/>
        <w:rPr>
          <w:rFonts w:ascii="Calibri" w:hAnsi="Calibri" w:cs="Calibri"/>
          <w:color w:val="000000" w:themeColor="text1"/>
        </w:rPr>
      </w:pPr>
      <w:r w:rsidRPr="00A76818">
        <w:rPr>
          <w:rFonts w:ascii="Calibri" w:hAnsi="Calibri" w:cs="Calibri"/>
          <w:color w:val="000000" w:themeColor="text1"/>
        </w:rPr>
        <w:t xml:space="preserve">Transitional housing is a form of housing that facilitates the movement of homeless households to permanent housing. Households may live in transitional housing for up to 24 months and receive supportive services such as childcare, job training, and home furnishings that help them live more independently. </w:t>
      </w:r>
    </w:p>
    <w:p w14:paraId="4DA9233D" w14:textId="77777777" w:rsidR="00F80BC0" w:rsidRPr="00A76818" w:rsidRDefault="00F80BC0" w:rsidP="00F80BC0">
      <w:pPr>
        <w:contextualSpacing/>
        <w:rPr>
          <w:rFonts w:ascii="Calibri" w:hAnsi="Calibri" w:cs="Calibri"/>
          <w:color w:val="000000" w:themeColor="text1"/>
        </w:rPr>
      </w:pPr>
      <w:r w:rsidRPr="00A76818">
        <w:rPr>
          <w:rFonts w:ascii="Calibri" w:hAnsi="Calibri" w:cs="Calibri"/>
          <w:color w:val="000000" w:themeColor="text1"/>
        </w:rPr>
        <w:br w:type="page"/>
      </w:r>
    </w:p>
    <w:p w14:paraId="1744DD0E" w14:textId="2D9CD440" w:rsidR="00F80BC0" w:rsidRDefault="00F80BC0" w:rsidP="000604EE">
      <w:pPr>
        <w:contextualSpacing/>
        <w:rPr>
          <w:rFonts w:ascii="Calibri" w:hAnsi="Calibri" w:cs="Calibri"/>
          <w:color w:val="000000" w:themeColor="text1"/>
        </w:rPr>
      </w:pPr>
    </w:p>
    <w:p w14:paraId="748764FA" w14:textId="77777777" w:rsidR="00F80BC0" w:rsidRDefault="00F80BC0" w:rsidP="000604EE">
      <w:pPr>
        <w:contextualSpacing/>
        <w:rPr>
          <w:rFonts w:ascii="Calibri" w:hAnsi="Calibri" w:cs="Calibri"/>
          <w:color w:val="000000" w:themeColor="text1"/>
        </w:rPr>
      </w:pPr>
    </w:p>
    <w:p w14:paraId="07F52D81" w14:textId="789BFD83" w:rsidR="00FB4A55" w:rsidRPr="004B7B0B" w:rsidRDefault="00FB4A55" w:rsidP="00FB4A55">
      <w:pPr>
        <w:pStyle w:val="Heading1"/>
        <w:rPr>
          <w:b/>
          <w:bCs/>
          <w:color w:val="0070C0"/>
          <w:highlight w:val="yellow"/>
        </w:rPr>
      </w:pPr>
      <w:bookmarkStart w:id="2" w:name="_Toc124254968"/>
      <w:r w:rsidRPr="004B7B0B">
        <w:rPr>
          <w:b/>
          <w:bCs/>
          <w:color w:val="0070C0"/>
          <w:highlight w:val="yellow"/>
        </w:rPr>
        <w:t>System Characteristics</w:t>
      </w:r>
      <w:bookmarkEnd w:id="2"/>
    </w:p>
    <w:p w14:paraId="016053DF" w14:textId="77777777" w:rsidR="00AF7381" w:rsidRPr="00AF7381" w:rsidRDefault="00AF7381" w:rsidP="00AF7381">
      <w:pPr>
        <w:pStyle w:val="Heading2"/>
        <w:spacing w:before="0"/>
        <w:rPr>
          <w:highlight w:val="yellow"/>
        </w:rPr>
      </w:pPr>
      <w:bookmarkStart w:id="3" w:name="_Toc34043168"/>
      <w:bookmarkStart w:id="4" w:name="_Toc124254969"/>
      <w:r w:rsidRPr="00AF7381">
        <w:rPr>
          <w:highlight w:val="yellow"/>
        </w:rPr>
        <w:t>Overview</w:t>
      </w:r>
      <w:bookmarkEnd w:id="3"/>
      <w:bookmarkEnd w:id="4"/>
    </w:p>
    <w:p w14:paraId="677E5572" w14:textId="16281E3A" w:rsidR="00AF7381" w:rsidRPr="00AF7381" w:rsidRDefault="00D170AD" w:rsidP="00AF7381">
      <w:pPr>
        <w:jc w:val="both"/>
        <w:rPr>
          <w:highlight w:val="yellow"/>
        </w:rPr>
      </w:pPr>
      <w:r>
        <w:rPr>
          <w:highlight w:val="yellow"/>
        </w:rPr>
        <w:t xml:space="preserve">Our CSCoC utilizes a </w:t>
      </w:r>
      <w:r w:rsidR="00AF7381" w:rsidRPr="00AF7381">
        <w:rPr>
          <w:highlight w:val="yellow"/>
        </w:rPr>
        <w:t xml:space="preserve">Coordinated </w:t>
      </w:r>
      <w:r>
        <w:rPr>
          <w:highlight w:val="yellow"/>
        </w:rPr>
        <w:t>En</w:t>
      </w:r>
      <w:r w:rsidR="00AF7381" w:rsidRPr="00AF7381">
        <w:rPr>
          <w:highlight w:val="yellow"/>
        </w:rPr>
        <w:t>try</w:t>
      </w:r>
      <w:r>
        <w:rPr>
          <w:highlight w:val="yellow"/>
        </w:rPr>
        <w:t xml:space="preserve"> System</w:t>
      </w:r>
      <w:r w:rsidR="00AF7381" w:rsidRPr="00AF7381">
        <w:rPr>
          <w:highlight w:val="yellow"/>
        </w:rPr>
        <w:t xml:space="preserve"> </w:t>
      </w:r>
      <w:r>
        <w:rPr>
          <w:highlight w:val="yellow"/>
        </w:rPr>
        <w:t xml:space="preserve">(CES) </w:t>
      </w:r>
      <w:r w:rsidR="00AF7381" w:rsidRPr="00AF7381">
        <w:rPr>
          <w:highlight w:val="yellow"/>
        </w:rPr>
        <w:t xml:space="preserve">process </w:t>
      </w:r>
      <w:r>
        <w:rPr>
          <w:highlight w:val="yellow"/>
        </w:rPr>
        <w:t xml:space="preserve">that is </w:t>
      </w:r>
      <w:r w:rsidR="00AF7381" w:rsidRPr="00AF7381">
        <w:rPr>
          <w:highlight w:val="yellow"/>
        </w:rPr>
        <w:t>designed to coordinate intake, assessment, provision of referrals, and housing placement for individuals and families seeking housing services.  It covers a designated service area</w:t>
      </w:r>
      <w:r>
        <w:rPr>
          <w:highlight w:val="yellow"/>
        </w:rPr>
        <w:t xml:space="preserve"> (Amador, Calaveras, Mariposa and Tuolumne Counties)</w:t>
      </w:r>
      <w:r w:rsidR="00AF7381" w:rsidRPr="00AF7381">
        <w:rPr>
          <w:highlight w:val="yellow"/>
        </w:rPr>
        <w:t>, is easily accessed by the target population, is well-advertised, and includes a comprehensive and standardized entry tool.</w:t>
      </w:r>
    </w:p>
    <w:p w14:paraId="74A0E289" w14:textId="77777777" w:rsidR="00AF7381" w:rsidRPr="00AF7381" w:rsidRDefault="00AF7381" w:rsidP="00AF7381">
      <w:pPr>
        <w:jc w:val="both"/>
        <w:rPr>
          <w:b/>
          <w:bCs/>
          <w:highlight w:val="yellow"/>
        </w:rPr>
      </w:pPr>
    </w:p>
    <w:p w14:paraId="5B1F8B31" w14:textId="26800DC8" w:rsidR="00AF7381" w:rsidRPr="00AF7381" w:rsidRDefault="00AF7381" w:rsidP="00AF7381">
      <w:pPr>
        <w:jc w:val="both"/>
        <w:rPr>
          <w:highlight w:val="yellow"/>
        </w:rPr>
      </w:pPr>
      <w:r w:rsidRPr="00AF7381">
        <w:rPr>
          <w:highlight w:val="yellow"/>
        </w:rPr>
        <w:t xml:space="preserve">HUD requires </w:t>
      </w:r>
      <w:bookmarkStart w:id="5" w:name="_Hlk24460517"/>
      <w:r w:rsidR="00D170AD">
        <w:rPr>
          <w:highlight w:val="yellow"/>
        </w:rPr>
        <w:t xml:space="preserve">a </w:t>
      </w:r>
      <w:r w:rsidRPr="00AF7381">
        <w:rPr>
          <w:highlight w:val="yellow"/>
        </w:rPr>
        <w:t xml:space="preserve">CoC </w:t>
      </w:r>
      <w:bookmarkEnd w:id="5"/>
      <w:r w:rsidRPr="00AF7381">
        <w:rPr>
          <w:highlight w:val="yellow"/>
        </w:rPr>
        <w:t xml:space="preserve">to establish and operate a “centralized or coordinated assessment system” with the goal of increasing the efficiency of local crisis response systems and improving fairness and ease of access to resources, including mainstream resources.  </w:t>
      </w:r>
      <w:r w:rsidR="00D170AD">
        <w:rPr>
          <w:highlight w:val="yellow"/>
        </w:rPr>
        <w:t>This c</w:t>
      </w:r>
      <w:r w:rsidRPr="00AF7381">
        <w:rPr>
          <w:highlight w:val="yellow"/>
        </w:rPr>
        <w:t xml:space="preserve">oordinated </w:t>
      </w:r>
      <w:r w:rsidR="00D170AD">
        <w:rPr>
          <w:highlight w:val="yellow"/>
        </w:rPr>
        <w:t xml:space="preserve">entry </w:t>
      </w:r>
      <w:r w:rsidRPr="00AF7381">
        <w:rPr>
          <w:highlight w:val="yellow"/>
        </w:rPr>
        <w:t>process</w:t>
      </w:r>
      <w:r w:rsidR="00D170AD">
        <w:rPr>
          <w:highlight w:val="yellow"/>
        </w:rPr>
        <w:t xml:space="preserve"> is </w:t>
      </w:r>
      <w:r w:rsidRPr="00AF7381">
        <w:rPr>
          <w:highlight w:val="yellow"/>
        </w:rPr>
        <w:t xml:space="preserve">intended to help communities prioritize households most in need of assistance.  They also provide information to </w:t>
      </w:r>
      <w:r w:rsidR="00D170AD">
        <w:rPr>
          <w:highlight w:val="yellow"/>
        </w:rPr>
        <w:t xml:space="preserve">our </w:t>
      </w:r>
      <w:r w:rsidRPr="00AF7381">
        <w:rPr>
          <w:highlight w:val="yellow"/>
        </w:rPr>
        <w:t xml:space="preserve">CSCoC and other stakeholders about service needs and gaps to help our communities strategically allocate their current resources and identify the need for additional resources.  </w:t>
      </w:r>
    </w:p>
    <w:p w14:paraId="642BC684" w14:textId="77777777" w:rsidR="00AF7381" w:rsidRPr="00AF7381" w:rsidRDefault="00AF7381" w:rsidP="00AF7381">
      <w:pPr>
        <w:jc w:val="both"/>
        <w:rPr>
          <w:b/>
          <w:bCs/>
          <w:highlight w:val="yellow"/>
        </w:rPr>
      </w:pPr>
    </w:p>
    <w:p w14:paraId="7E6BAF7C" w14:textId="3AF094AD" w:rsidR="00AF7381" w:rsidRPr="00AF7381" w:rsidRDefault="00AF7381" w:rsidP="00AF7381">
      <w:pPr>
        <w:jc w:val="both"/>
        <w:rPr>
          <w:highlight w:val="yellow"/>
        </w:rPr>
      </w:pPr>
      <w:r w:rsidRPr="00AF7381">
        <w:rPr>
          <w:highlight w:val="yellow"/>
        </w:rPr>
        <w:t xml:space="preserve">Both the CoC and ESG Program interim rules, 24 CFR § 578 and 24 CFR §§91 and 576 respectively, require the use of CoC’s </w:t>
      </w:r>
      <w:r w:rsidR="002E4855">
        <w:rPr>
          <w:highlight w:val="yellow"/>
        </w:rPr>
        <w:t>c</w:t>
      </w:r>
      <w:r w:rsidRPr="00AF7381">
        <w:rPr>
          <w:highlight w:val="yellow"/>
        </w:rPr>
        <w:t xml:space="preserve">oordinated </w:t>
      </w:r>
      <w:r w:rsidR="002E4855">
        <w:rPr>
          <w:highlight w:val="yellow"/>
        </w:rPr>
        <w:t>e</w:t>
      </w:r>
      <w:r w:rsidRPr="00AF7381">
        <w:rPr>
          <w:highlight w:val="yellow"/>
        </w:rPr>
        <w:t>ntry process, provided it meets HUD requirements.  The CoC Program interim rule set the basic parameters for coordinated entry and left further requirements to be set by HUD notice.  Under the authority of 24 CFR § 578.7(a)(8) and through Notice CPD-17-01, HUD established additional requirements that CoC</w:t>
      </w:r>
      <w:r w:rsidR="00D170AD">
        <w:rPr>
          <w:highlight w:val="yellow"/>
        </w:rPr>
        <w:t>s</w:t>
      </w:r>
      <w:r w:rsidRPr="00AF7381">
        <w:rPr>
          <w:highlight w:val="yellow"/>
        </w:rPr>
        <w:t xml:space="preserve">, and recipients of CoC and ESG </w:t>
      </w:r>
      <w:r w:rsidR="00D170AD">
        <w:rPr>
          <w:highlight w:val="yellow"/>
        </w:rPr>
        <w:t>p</w:t>
      </w:r>
      <w:r w:rsidRPr="00AF7381">
        <w:rPr>
          <w:highlight w:val="yellow"/>
        </w:rPr>
        <w:t xml:space="preserve">rogram funding, must meet related to the development and use of a coordinated assessment system.  Implementing coordinated entry is a requirement under the interim rule and an essential strategy for HUD, other federal partners, and CSCoC to use in achieving the strategic goals of the Opening Doors report.  </w:t>
      </w:r>
    </w:p>
    <w:p w14:paraId="043819B8" w14:textId="77777777" w:rsidR="00AF7381" w:rsidRPr="00AF7381" w:rsidRDefault="00AF7381" w:rsidP="00AF7381">
      <w:pPr>
        <w:jc w:val="both"/>
        <w:rPr>
          <w:b/>
          <w:bCs/>
          <w:highlight w:val="yellow"/>
        </w:rPr>
      </w:pPr>
    </w:p>
    <w:p w14:paraId="773F4A15" w14:textId="77777777" w:rsidR="00AF7381" w:rsidRPr="00AF7381" w:rsidRDefault="00AF7381" w:rsidP="00AF7381">
      <w:pPr>
        <w:jc w:val="both"/>
        <w:rPr>
          <w:highlight w:val="yellow"/>
        </w:rPr>
      </w:pPr>
      <w:r w:rsidRPr="00AF7381">
        <w:rPr>
          <w:highlight w:val="yellow"/>
        </w:rPr>
        <w:t xml:space="preserve">Coordinated entry changes a continuum of care from a project-focused system to a household-focused system by asking that “communities prioritize households who are most in need of assistance” and “strategically allocate their current resources and identify the need for additional resources.” (Coordinated Entry Notice, p 2). </w:t>
      </w:r>
    </w:p>
    <w:p w14:paraId="520A0834" w14:textId="77777777" w:rsidR="00AF7381" w:rsidRPr="00AF7381" w:rsidRDefault="00AF7381" w:rsidP="00AF7381">
      <w:pPr>
        <w:jc w:val="both"/>
        <w:rPr>
          <w:b/>
          <w:bCs/>
          <w:highlight w:val="yellow"/>
        </w:rPr>
      </w:pPr>
    </w:p>
    <w:p w14:paraId="65E9A767" w14:textId="77777777" w:rsidR="00AF7381" w:rsidRPr="00AF7381" w:rsidRDefault="00AF7381" w:rsidP="00AF7381">
      <w:pPr>
        <w:jc w:val="both"/>
        <w:rPr>
          <w:highlight w:val="yellow"/>
        </w:rPr>
      </w:pPr>
      <w:r w:rsidRPr="00AF7381">
        <w:rPr>
          <w:highlight w:val="yellow"/>
        </w:rPr>
        <w:t>All CSCoC and ESG funded projects must participate in the CSCoC Coordinated Entry System (CES).  Projects must use a Housing First Model approach and ensure all necessary documentation is finalized through the CSCoC.  New projects must participate in CES training and sign all confidentiality documents before they may access the CSCoC CES.</w:t>
      </w:r>
    </w:p>
    <w:p w14:paraId="4FC80591" w14:textId="77777777" w:rsidR="00AF7381" w:rsidRPr="00AF7381" w:rsidRDefault="00AF7381" w:rsidP="00AF7381">
      <w:pPr>
        <w:jc w:val="both"/>
        <w:rPr>
          <w:b/>
          <w:bCs/>
          <w:highlight w:val="yellow"/>
        </w:rPr>
      </w:pPr>
    </w:p>
    <w:p w14:paraId="478A5BC6" w14:textId="71DD92FB" w:rsidR="00AF7381" w:rsidRPr="00AF7381" w:rsidRDefault="00AF7381" w:rsidP="00AF7381">
      <w:pPr>
        <w:jc w:val="both"/>
        <w:rPr>
          <w:highlight w:val="yellow"/>
        </w:rPr>
      </w:pPr>
      <w:r w:rsidRPr="00AF7381">
        <w:rPr>
          <w:highlight w:val="yellow"/>
        </w:rPr>
        <w:t xml:space="preserve">The materials within these </w:t>
      </w:r>
      <w:r>
        <w:rPr>
          <w:highlight w:val="yellow"/>
        </w:rPr>
        <w:t>Written Standards</w:t>
      </w:r>
      <w:r w:rsidRPr="00AF7381">
        <w:rPr>
          <w:highlight w:val="yellow"/>
        </w:rPr>
        <w:t xml:space="preserve"> have been developed locally by the CSCoC and are not evidence-based.  The CSCoC Housing Determination Committee is responsible for monitoring the CES with periodic evaluations and gathering stakeholder feedback.  This document reflects the most recent </w:t>
      </w:r>
      <w:r w:rsidR="00CF123B">
        <w:rPr>
          <w:highlight w:val="yellow"/>
        </w:rPr>
        <w:t>written standards</w:t>
      </w:r>
      <w:r w:rsidRPr="00AF7381">
        <w:rPr>
          <w:highlight w:val="yellow"/>
        </w:rPr>
        <w:t xml:space="preserve"> as approved by the CSCoC Governing Board and is subject to change.</w:t>
      </w:r>
    </w:p>
    <w:p w14:paraId="21EF9B71" w14:textId="77777777" w:rsidR="00AF7381" w:rsidRPr="00AF7381" w:rsidRDefault="00AF7381" w:rsidP="00AF7381">
      <w:pPr>
        <w:jc w:val="both"/>
        <w:rPr>
          <w:b/>
          <w:bCs/>
          <w:highlight w:val="yellow"/>
        </w:rPr>
      </w:pPr>
    </w:p>
    <w:p w14:paraId="0A3B9CD2" w14:textId="77777777" w:rsidR="00AF7381" w:rsidRPr="004B7B0B" w:rsidRDefault="00AF7381" w:rsidP="00AF7381">
      <w:pPr>
        <w:pStyle w:val="Heading2"/>
        <w:spacing w:before="0"/>
        <w:rPr>
          <w:color w:val="0070C0"/>
          <w:highlight w:val="yellow"/>
        </w:rPr>
      </w:pPr>
      <w:bookmarkStart w:id="6" w:name="_Toc34043169"/>
      <w:bookmarkStart w:id="7" w:name="_Toc124254970"/>
      <w:r w:rsidRPr="004B7B0B">
        <w:rPr>
          <w:color w:val="0070C0"/>
          <w:highlight w:val="yellow"/>
        </w:rPr>
        <w:t>Cultural and Linguistic Competency</w:t>
      </w:r>
      <w:bookmarkEnd w:id="6"/>
      <w:bookmarkEnd w:id="7"/>
    </w:p>
    <w:p w14:paraId="2BFBED7F" w14:textId="77777777" w:rsidR="00AF7381" w:rsidRPr="00AF7381" w:rsidRDefault="00AF7381" w:rsidP="00AF7381">
      <w:pPr>
        <w:jc w:val="both"/>
        <w:rPr>
          <w:highlight w:val="yellow"/>
        </w:rPr>
      </w:pPr>
      <w:r w:rsidRPr="00AF7381">
        <w:rPr>
          <w:highlight w:val="yellow"/>
        </w:rPr>
        <w:lastRenderedPageBreak/>
        <w:t>All service providers administering assessment shall use culturally and linguistically competent practices.  Assessments shall include trauma-informed culturally and linguistically competent questions for special subpopulations, including immigrants, refugees, and other first-generation subpopulations; youth; households fleeing, or attempting to flee, domestic violence, dating violence, sexual assault, or stalking; and LGBTQ households.</w:t>
      </w:r>
    </w:p>
    <w:p w14:paraId="7AD2F4BE" w14:textId="77777777" w:rsidR="00AF7381" w:rsidRPr="00AF7381" w:rsidRDefault="00AF7381" w:rsidP="00AF7381">
      <w:pPr>
        <w:jc w:val="both"/>
        <w:rPr>
          <w:highlight w:val="yellow"/>
        </w:rPr>
      </w:pPr>
    </w:p>
    <w:p w14:paraId="0A042941" w14:textId="77777777" w:rsidR="00AF7381" w:rsidRPr="00AF7381" w:rsidRDefault="00AF7381" w:rsidP="00AF7381">
      <w:pPr>
        <w:jc w:val="both"/>
        <w:rPr>
          <w:highlight w:val="yellow"/>
        </w:rPr>
      </w:pPr>
      <w:r w:rsidRPr="00AF7381">
        <w:rPr>
          <w:highlight w:val="yellow"/>
        </w:rPr>
        <w:t>Marketing materials are written to be sensitive to minority racial and ethnic groups in the community.  Where possible, materials shall be translated by someone who is local and fluent in the language, as culture and language can differ across communities within the same racial or ethnic group.</w:t>
      </w:r>
    </w:p>
    <w:p w14:paraId="5CAF6705" w14:textId="77777777" w:rsidR="00AF7381" w:rsidRPr="00AF7381" w:rsidRDefault="00AF7381" w:rsidP="00AF7381">
      <w:pPr>
        <w:jc w:val="both"/>
        <w:rPr>
          <w:highlight w:val="yellow"/>
        </w:rPr>
      </w:pPr>
    </w:p>
    <w:p w14:paraId="501024CD" w14:textId="77777777" w:rsidR="00AF7381" w:rsidRPr="004B7B0B" w:rsidRDefault="00AF7381" w:rsidP="00AF7381">
      <w:pPr>
        <w:pStyle w:val="Heading2"/>
        <w:spacing w:before="0"/>
        <w:rPr>
          <w:color w:val="0070C0"/>
          <w:highlight w:val="yellow"/>
        </w:rPr>
      </w:pPr>
      <w:bookmarkStart w:id="8" w:name="_Toc34043170"/>
      <w:bookmarkStart w:id="9" w:name="_Toc124254971"/>
      <w:r w:rsidRPr="004B7B0B">
        <w:rPr>
          <w:color w:val="0070C0"/>
          <w:highlight w:val="yellow"/>
        </w:rPr>
        <w:t>Fair and Equal Access</w:t>
      </w:r>
      <w:bookmarkEnd w:id="8"/>
      <w:bookmarkEnd w:id="9"/>
      <w:r w:rsidRPr="004B7B0B">
        <w:rPr>
          <w:color w:val="0070C0"/>
          <w:highlight w:val="yellow"/>
        </w:rPr>
        <w:t xml:space="preserve"> </w:t>
      </w:r>
    </w:p>
    <w:p w14:paraId="16609B3A" w14:textId="77777777" w:rsidR="00AF7381" w:rsidRPr="00AF7381" w:rsidRDefault="00AF7381" w:rsidP="00AF7381">
      <w:pPr>
        <w:rPr>
          <w:highlight w:val="yellow"/>
          <w:u w:val="single"/>
        </w:rPr>
      </w:pPr>
      <w:r w:rsidRPr="00AF7381">
        <w:rPr>
          <w:highlight w:val="yellow"/>
          <w:u w:val="single"/>
        </w:rPr>
        <w:t>Accessibility to Local Subpopulations</w:t>
      </w:r>
    </w:p>
    <w:p w14:paraId="132FAFE1" w14:textId="77777777" w:rsidR="00AF7381" w:rsidRPr="00AF7381" w:rsidRDefault="00AF7381" w:rsidP="00AF7381">
      <w:pPr>
        <w:spacing w:after="120"/>
        <w:jc w:val="both"/>
        <w:rPr>
          <w:highlight w:val="yellow"/>
        </w:rPr>
      </w:pPr>
      <w:r w:rsidRPr="00AF7381">
        <w:rPr>
          <w:highlight w:val="yellow"/>
        </w:rPr>
        <w:t>The following adaptations to the assessment process may be utilized to address negative impacts experienced by some subpopulations:</w:t>
      </w:r>
    </w:p>
    <w:p w14:paraId="277AF9DF" w14:textId="77777777" w:rsidR="00AF7381" w:rsidRPr="00AF7381" w:rsidRDefault="00AF7381">
      <w:pPr>
        <w:pStyle w:val="ListParagraph"/>
        <w:numPr>
          <w:ilvl w:val="0"/>
          <w:numId w:val="149"/>
        </w:numPr>
        <w:spacing w:after="120"/>
        <w:ind w:right="720"/>
        <w:contextualSpacing w:val="0"/>
        <w:jc w:val="both"/>
        <w:rPr>
          <w:highlight w:val="yellow"/>
        </w:rPr>
      </w:pPr>
      <w:r w:rsidRPr="00AF7381">
        <w:rPr>
          <w:highlight w:val="yellow"/>
          <w:u w:val="single"/>
        </w:rPr>
        <w:t>Progressive and phased assessment</w:t>
      </w:r>
      <w:r w:rsidRPr="00AF7381">
        <w:rPr>
          <w:highlight w:val="yellow"/>
        </w:rPr>
        <w:t xml:space="preserve"> – Some subpopulations might benefit from</w:t>
      </w:r>
      <w:r w:rsidRPr="00AF7381">
        <w:rPr>
          <w:highlight w:val="yellow"/>
        </w:rPr>
        <w:tab/>
        <w:t xml:space="preserve"> being assessed in phases, as engagement could be difficult because such households are reluctant to share information.  Their reluctance could be a result of trauma and building their trust can take time.</w:t>
      </w:r>
    </w:p>
    <w:p w14:paraId="33D09D27" w14:textId="77777777" w:rsidR="00AF7381" w:rsidRPr="00AF7381" w:rsidRDefault="00AF7381">
      <w:pPr>
        <w:pStyle w:val="ListParagraph"/>
        <w:numPr>
          <w:ilvl w:val="0"/>
          <w:numId w:val="149"/>
        </w:numPr>
        <w:spacing w:after="120"/>
        <w:ind w:right="720"/>
        <w:contextualSpacing w:val="0"/>
        <w:jc w:val="both"/>
        <w:rPr>
          <w:highlight w:val="yellow"/>
        </w:rPr>
      </w:pPr>
      <w:r w:rsidRPr="00AF7381">
        <w:rPr>
          <w:highlight w:val="yellow"/>
          <w:u w:val="single"/>
        </w:rPr>
        <w:t>Trauma-informed assessment protocols</w:t>
      </w:r>
      <w:r w:rsidRPr="00AF7381">
        <w:rPr>
          <w:highlight w:val="yellow"/>
        </w:rPr>
        <w:t xml:space="preserve"> – A trauma-informed assessment approach is a best practice that is used universally with all subpopulations regardless of the household’s history.</w:t>
      </w:r>
    </w:p>
    <w:p w14:paraId="6529C366" w14:textId="77777777" w:rsidR="00AF7381" w:rsidRPr="00AF7381" w:rsidRDefault="00AF7381">
      <w:pPr>
        <w:pStyle w:val="ListParagraph"/>
        <w:numPr>
          <w:ilvl w:val="0"/>
          <w:numId w:val="149"/>
        </w:numPr>
        <w:spacing w:after="120"/>
        <w:ind w:right="720"/>
        <w:contextualSpacing w:val="0"/>
        <w:jc w:val="both"/>
        <w:rPr>
          <w:highlight w:val="yellow"/>
        </w:rPr>
      </w:pPr>
      <w:r w:rsidRPr="00AF7381">
        <w:rPr>
          <w:highlight w:val="yellow"/>
          <w:u w:val="single"/>
        </w:rPr>
        <w:t>Trauma-informed training for service providers</w:t>
      </w:r>
      <w:r w:rsidRPr="00AF7381">
        <w:rPr>
          <w:highlight w:val="yellow"/>
        </w:rPr>
        <w:t xml:space="preserve"> – All service providers are trained in how to conduct assessments with victims of domestic violence or sexual assault to reduce the chance of re-traumatization.</w:t>
      </w:r>
    </w:p>
    <w:p w14:paraId="0E39FEEB" w14:textId="77777777" w:rsidR="00AF7381" w:rsidRPr="00AF7381" w:rsidRDefault="00AF7381">
      <w:pPr>
        <w:pStyle w:val="ListParagraph"/>
        <w:numPr>
          <w:ilvl w:val="0"/>
          <w:numId w:val="149"/>
        </w:numPr>
        <w:spacing w:after="120"/>
        <w:ind w:right="720"/>
        <w:contextualSpacing w:val="0"/>
        <w:jc w:val="both"/>
        <w:rPr>
          <w:highlight w:val="yellow"/>
        </w:rPr>
      </w:pPr>
      <w:r w:rsidRPr="00AF7381">
        <w:rPr>
          <w:highlight w:val="yellow"/>
          <w:u w:val="single"/>
        </w:rPr>
        <w:t>Safety planning</w:t>
      </w:r>
      <w:r w:rsidRPr="00AF7381">
        <w:rPr>
          <w:highlight w:val="yellow"/>
        </w:rPr>
        <w:t xml:space="preserve"> – Service providers are trained on safety planning and other next-step procedures if the assessment uncovers safety issues in situations such as domestic violence, sexual assault, child abuse or neglect, stalking, and trafficking.</w:t>
      </w:r>
    </w:p>
    <w:p w14:paraId="61F52F32" w14:textId="093CAA88" w:rsidR="00AF7381" w:rsidRPr="00AF7381" w:rsidRDefault="00AF7381">
      <w:pPr>
        <w:pStyle w:val="ListParagraph"/>
        <w:numPr>
          <w:ilvl w:val="0"/>
          <w:numId w:val="149"/>
        </w:numPr>
        <w:spacing w:after="120"/>
        <w:ind w:right="720"/>
        <w:contextualSpacing w:val="0"/>
        <w:jc w:val="both"/>
        <w:rPr>
          <w:highlight w:val="yellow"/>
        </w:rPr>
      </w:pPr>
      <w:r w:rsidRPr="00AF7381">
        <w:rPr>
          <w:highlight w:val="yellow"/>
          <w:u w:val="single"/>
        </w:rPr>
        <w:t>Private space for assessments</w:t>
      </w:r>
      <w:r w:rsidRPr="00AF7381">
        <w:rPr>
          <w:highlight w:val="yellow"/>
        </w:rPr>
        <w:t xml:space="preserve"> – The assessment space and experience is designed to allow households to safely reveal sensitive information or safety issues.  The space allows for both visual and auditory privacy, and the CSCoC’s </w:t>
      </w:r>
      <w:r w:rsidR="00CF123B">
        <w:rPr>
          <w:highlight w:val="yellow"/>
        </w:rPr>
        <w:t xml:space="preserve">written standards </w:t>
      </w:r>
      <w:r w:rsidRPr="00AF7381">
        <w:rPr>
          <w:highlight w:val="yellow"/>
        </w:rPr>
        <w:t>allow service providers to gather information from each adult in the household in separate interviews, where appropriate.  Sensitive information might include the disclosure of mental illness, physical disabilities, gender identity, or abuse.</w:t>
      </w:r>
    </w:p>
    <w:p w14:paraId="1620895A" w14:textId="77777777" w:rsidR="00AF7381" w:rsidRPr="00AF7381" w:rsidRDefault="00AF7381">
      <w:pPr>
        <w:pStyle w:val="ListParagraph"/>
        <w:numPr>
          <w:ilvl w:val="0"/>
          <w:numId w:val="149"/>
        </w:numPr>
        <w:spacing w:after="120"/>
        <w:ind w:right="720"/>
        <w:contextualSpacing w:val="0"/>
        <w:jc w:val="both"/>
        <w:rPr>
          <w:highlight w:val="yellow"/>
        </w:rPr>
      </w:pPr>
      <w:r w:rsidRPr="00AF7381">
        <w:rPr>
          <w:highlight w:val="yellow"/>
          <w:u w:val="single"/>
        </w:rPr>
        <w:t>Skip-logic for unnecessary or irrelevant assessment questions</w:t>
      </w:r>
      <w:r w:rsidRPr="00AF7381">
        <w:rPr>
          <w:highlight w:val="yellow"/>
        </w:rPr>
        <w:t xml:space="preserve"> – Assessment questions may be adjusted to be appropriate for specific subpopulations; for example:</w:t>
      </w:r>
    </w:p>
    <w:p w14:paraId="794202A8" w14:textId="77777777" w:rsidR="00AF7381" w:rsidRPr="00AF7381" w:rsidRDefault="00AF7381">
      <w:pPr>
        <w:pStyle w:val="ListParagraph"/>
        <w:numPr>
          <w:ilvl w:val="1"/>
          <w:numId w:val="149"/>
        </w:numPr>
        <w:spacing w:after="120"/>
        <w:ind w:right="1440"/>
        <w:contextualSpacing w:val="0"/>
        <w:rPr>
          <w:highlight w:val="yellow"/>
        </w:rPr>
      </w:pPr>
      <w:r w:rsidRPr="00AF7381">
        <w:rPr>
          <w:highlight w:val="yellow"/>
        </w:rPr>
        <w:t>For unaccompanied youth aged 17 or younger, questions for veterans can be eliminated.</w:t>
      </w:r>
    </w:p>
    <w:p w14:paraId="746CD360" w14:textId="77777777" w:rsidR="00AF7381" w:rsidRPr="00AF7381" w:rsidRDefault="00AF7381">
      <w:pPr>
        <w:pStyle w:val="ListParagraph"/>
        <w:numPr>
          <w:ilvl w:val="1"/>
          <w:numId w:val="149"/>
        </w:numPr>
        <w:spacing w:after="120"/>
        <w:ind w:right="1440"/>
        <w:contextualSpacing w:val="0"/>
        <w:rPr>
          <w:highlight w:val="yellow"/>
        </w:rPr>
      </w:pPr>
      <w:r w:rsidRPr="00AF7381">
        <w:rPr>
          <w:highlight w:val="yellow"/>
        </w:rPr>
        <w:t>For men, questions regarding pregnancy and prenatal care can be eliminated.</w:t>
      </w:r>
    </w:p>
    <w:p w14:paraId="0DF5FCE5" w14:textId="77777777" w:rsidR="00AF7381" w:rsidRPr="00AF7381" w:rsidRDefault="00AF7381">
      <w:pPr>
        <w:pStyle w:val="ListParagraph"/>
        <w:numPr>
          <w:ilvl w:val="0"/>
          <w:numId w:val="149"/>
        </w:numPr>
        <w:spacing w:after="120"/>
        <w:contextualSpacing w:val="0"/>
        <w:rPr>
          <w:highlight w:val="yellow"/>
        </w:rPr>
      </w:pPr>
      <w:r w:rsidRPr="00AF7381">
        <w:rPr>
          <w:highlight w:val="yellow"/>
          <w:u w:val="single"/>
        </w:rPr>
        <w:lastRenderedPageBreak/>
        <w:t>Accessible language</w:t>
      </w:r>
      <w:r w:rsidRPr="00AF7381">
        <w:rPr>
          <w:highlight w:val="yellow"/>
        </w:rPr>
        <w:t xml:space="preserve"> – Assessment instructions and questions for children and youth shall reflect their level of development and be administered in a culturally competent manner.</w:t>
      </w:r>
    </w:p>
    <w:p w14:paraId="30F389C6" w14:textId="77777777" w:rsidR="00AF7381" w:rsidRPr="00AF7381" w:rsidRDefault="00AF7381">
      <w:pPr>
        <w:pStyle w:val="ListParagraph"/>
        <w:numPr>
          <w:ilvl w:val="0"/>
          <w:numId w:val="149"/>
        </w:numPr>
        <w:contextualSpacing w:val="0"/>
        <w:rPr>
          <w:highlight w:val="yellow"/>
        </w:rPr>
      </w:pPr>
      <w:r w:rsidRPr="00AF7381">
        <w:rPr>
          <w:highlight w:val="yellow"/>
          <w:u w:val="single"/>
        </w:rPr>
        <w:t>Translation services</w:t>
      </w:r>
      <w:r w:rsidRPr="00AF7381">
        <w:rPr>
          <w:highlight w:val="yellow"/>
        </w:rPr>
        <w:t xml:space="preserve"> – Multiple language options are available.  </w:t>
      </w:r>
    </w:p>
    <w:p w14:paraId="09F94DB2" w14:textId="77777777" w:rsidR="00AF7381" w:rsidRPr="00AF7381" w:rsidRDefault="00AF7381" w:rsidP="00AF7381">
      <w:pPr>
        <w:pStyle w:val="ListParagraph"/>
        <w:contextualSpacing w:val="0"/>
        <w:rPr>
          <w:highlight w:val="yellow"/>
        </w:rPr>
      </w:pPr>
    </w:p>
    <w:p w14:paraId="3C265432" w14:textId="77777777" w:rsidR="00AF7381" w:rsidRPr="00AF7381" w:rsidRDefault="00AF7381" w:rsidP="00AF7381">
      <w:pPr>
        <w:rPr>
          <w:highlight w:val="yellow"/>
          <w:u w:val="single"/>
        </w:rPr>
      </w:pPr>
      <w:r w:rsidRPr="00AF7381">
        <w:rPr>
          <w:highlight w:val="yellow"/>
          <w:u w:val="single"/>
        </w:rPr>
        <w:t>Physical Accessibility</w:t>
      </w:r>
    </w:p>
    <w:p w14:paraId="2578D44A" w14:textId="77777777" w:rsidR="00AF7381" w:rsidRPr="00AF7381" w:rsidRDefault="00AF7381" w:rsidP="00AF7381">
      <w:pPr>
        <w:jc w:val="both"/>
        <w:rPr>
          <w:highlight w:val="yellow"/>
        </w:rPr>
      </w:pPr>
      <w:r w:rsidRPr="00AF7381">
        <w:rPr>
          <w:highlight w:val="yellow"/>
        </w:rPr>
        <w:t xml:space="preserve">All households in the CSCoC’s geographic area have fair and equal access to the coordinated entry process, regardless of where or how they present for services.  Fair and equal access means that households can easily access the coordinated entry process, whether in person, by phone, or some other method, and that the process for accessing help is well known.  </w:t>
      </w:r>
    </w:p>
    <w:p w14:paraId="2774D15C" w14:textId="77777777" w:rsidR="00AF7381" w:rsidRPr="00AF7381" w:rsidRDefault="00AF7381" w:rsidP="00AF7381">
      <w:pPr>
        <w:jc w:val="both"/>
        <w:rPr>
          <w:highlight w:val="yellow"/>
        </w:rPr>
      </w:pPr>
    </w:p>
    <w:p w14:paraId="47906BEC" w14:textId="77777777" w:rsidR="00AF7381" w:rsidRPr="00AF7381" w:rsidRDefault="00AF7381" w:rsidP="00AF7381">
      <w:pPr>
        <w:jc w:val="both"/>
        <w:rPr>
          <w:highlight w:val="yellow"/>
        </w:rPr>
      </w:pPr>
      <w:r w:rsidRPr="00AF7381">
        <w:rPr>
          <w:highlight w:val="yellow"/>
        </w:rPr>
        <w:t>To ensure accessibility to households in need, the CES provides access to projects from multiple, convenient physical locations.  Households may initiate a request for services in person through any of the designated HUB Stations or through additional housing community service providers.  All HUB Stations are ADA compliant, can assist with disabilities and language barriers that may be present, and have personnel trained in HMIS and the CES.  Some HUB Stations are specifically designated for veterans, but households with veterans may utilize any HUB Station available.  Households requiring additional communication services such as braille, hearing assistance, sign language interpretation, etc. may be assisted through:</w:t>
      </w:r>
    </w:p>
    <w:p w14:paraId="0A890ABD" w14:textId="77777777" w:rsidR="00AF7381" w:rsidRPr="00AF7381" w:rsidRDefault="00AF7381">
      <w:pPr>
        <w:pStyle w:val="ListParagraph"/>
        <w:numPr>
          <w:ilvl w:val="0"/>
          <w:numId w:val="148"/>
        </w:numPr>
        <w:spacing w:after="120"/>
        <w:contextualSpacing w:val="0"/>
        <w:rPr>
          <w:highlight w:val="yellow"/>
        </w:rPr>
      </w:pPr>
      <w:r w:rsidRPr="00AF7381">
        <w:rPr>
          <w:highlight w:val="yellow"/>
        </w:rPr>
        <w:t xml:space="preserve">Amador County Health and Human Services Agency </w:t>
      </w:r>
    </w:p>
    <w:p w14:paraId="466DAB82" w14:textId="77777777" w:rsidR="00AF7381" w:rsidRPr="00AF7381" w:rsidRDefault="00AF7381">
      <w:pPr>
        <w:pStyle w:val="ListParagraph"/>
        <w:numPr>
          <w:ilvl w:val="0"/>
          <w:numId w:val="148"/>
        </w:numPr>
        <w:spacing w:after="120"/>
        <w:contextualSpacing w:val="0"/>
        <w:rPr>
          <w:highlight w:val="yellow"/>
        </w:rPr>
      </w:pPr>
      <w:r w:rsidRPr="00AF7381">
        <w:rPr>
          <w:highlight w:val="yellow"/>
        </w:rPr>
        <w:t>Calaveras County Health and Human Services Agency</w:t>
      </w:r>
    </w:p>
    <w:p w14:paraId="78597290" w14:textId="77777777" w:rsidR="00AF7381" w:rsidRPr="00AF7381" w:rsidRDefault="00AF7381">
      <w:pPr>
        <w:pStyle w:val="ListParagraph"/>
        <w:numPr>
          <w:ilvl w:val="0"/>
          <w:numId w:val="148"/>
        </w:numPr>
        <w:spacing w:after="120"/>
        <w:contextualSpacing w:val="0"/>
        <w:rPr>
          <w:highlight w:val="yellow"/>
        </w:rPr>
      </w:pPr>
      <w:r w:rsidRPr="00AF7381">
        <w:rPr>
          <w:highlight w:val="yellow"/>
        </w:rPr>
        <w:t>Mariposa County Health and Human Services Agency</w:t>
      </w:r>
    </w:p>
    <w:p w14:paraId="1A8D0470" w14:textId="77777777" w:rsidR="00AF7381" w:rsidRPr="00AF7381" w:rsidRDefault="00AF7381">
      <w:pPr>
        <w:pStyle w:val="ListParagraph"/>
        <w:numPr>
          <w:ilvl w:val="0"/>
          <w:numId w:val="148"/>
        </w:numPr>
        <w:spacing w:after="120"/>
        <w:contextualSpacing w:val="0"/>
        <w:rPr>
          <w:highlight w:val="yellow"/>
        </w:rPr>
      </w:pPr>
      <w:r w:rsidRPr="00AF7381">
        <w:rPr>
          <w:highlight w:val="yellow"/>
        </w:rPr>
        <w:t>Tuolumne County Health and Human Services Agency</w:t>
      </w:r>
    </w:p>
    <w:p w14:paraId="2EEFF58F" w14:textId="77777777" w:rsidR="00AF7381" w:rsidRPr="00AF7381" w:rsidRDefault="00AF7381" w:rsidP="00AF7381">
      <w:pPr>
        <w:spacing w:before="240"/>
        <w:rPr>
          <w:highlight w:val="yellow"/>
          <w:u w:val="single"/>
        </w:rPr>
      </w:pPr>
      <w:r w:rsidRPr="00AF7381">
        <w:rPr>
          <w:highlight w:val="yellow"/>
          <w:u w:val="single"/>
        </w:rPr>
        <w:t>Understanding the Needs of Households Not Served</w:t>
      </w:r>
    </w:p>
    <w:p w14:paraId="46AC439E" w14:textId="77777777" w:rsidR="00AF7381" w:rsidRPr="00AF7381" w:rsidRDefault="00AF7381" w:rsidP="00AF7381">
      <w:pPr>
        <w:jc w:val="both"/>
        <w:rPr>
          <w:highlight w:val="yellow"/>
        </w:rPr>
      </w:pPr>
      <w:r w:rsidRPr="00AF7381">
        <w:rPr>
          <w:highlight w:val="yellow"/>
        </w:rPr>
        <w:t>Access points gather information about households requesting homeless system services who do not enroll in a CSCoC project (e.g., households diverted from the crisis response system).  The reasons for households not enrolling are tracked in HMIS.  Over time, the CSCoC will analyze this information against any subsequent entries by these same households into the homeless system in order to determine whether the CSCoC needs to adjust its system or the CES.</w:t>
      </w:r>
    </w:p>
    <w:p w14:paraId="59AAE7FA" w14:textId="77777777" w:rsidR="00AF7381" w:rsidRPr="00AF7381" w:rsidRDefault="00AF7381" w:rsidP="00AF7381">
      <w:pPr>
        <w:jc w:val="both"/>
        <w:rPr>
          <w:highlight w:val="yellow"/>
        </w:rPr>
      </w:pPr>
    </w:p>
    <w:p w14:paraId="0C924B06" w14:textId="77777777" w:rsidR="00AF7381" w:rsidRPr="00AF7381" w:rsidRDefault="00AF7381" w:rsidP="00AF7381">
      <w:pPr>
        <w:rPr>
          <w:highlight w:val="yellow"/>
          <w:u w:val="single"/>
        </w:rPr>
      </w:pPr>
      <w:r w:rsidRPr="00AF7381">
        <w:rPr>
          <w:highlight w:val="yellow"/>
          <w:u w:val="single"/>
        </w:rPr>
        <w:t>Connection to Mainstream Resources</w:t>
      </w:r>
    </w:p>
    <w:p w14:paraId="6354D98E" w14:textId="77777777" w:rsidR="00AF7381" w:rsidRPr="00AF7381" w:rsidRDefault="00AF7381" w:rsidP="00AF7381">
      <w:pPr>
        <w:jc w:val="both"/>
        <w:rPr>
          <w:highlight w:val="yellow"/>
        </w:rPr>
      </w:pPr>
      <w:r w:rsidRPr="00AF7381">
        <w:rPr>
          <w:highlight w:val="yellow"/>
        </w:rPr>
        <w:t>Access points also provide critical connections to mainstream and community-based emergency assistance services (e.g., supplemental food assistance programs).  CES will facilitate these resource connections for households experiencing homelessness. It would be advantageous for mainstream resource providers to also serve as coordinated entry access points.</w:t>
      </w:r>
    </w:p>
    <w:p w14:paraId="492AF527" w14:textId="77777777" w:rsidR="00AF7381" w:rsidRPr="00AF7381" w:rsidRDefault="00AF7381" w:rsidP="00AF7381">
      <w:pPr>
        <w:jc w:val="both"/>
        <w:rPr>
          <w:highlight w:val="yellow"/>
        </w:rPr>
      </w:pPr>
    </w:p>
    <w:p w14:paraId="100BA779" w14:textId="77777777" w:rsidR="00AF7381" w:rsidRPr="00AF7381" w:rsidRDefault="00AF7381" w:rsidP="00AF7381">
      <w:pPr>
        <w:jc w:val="both"/>
        <w:rPr>
          <w:highlight w:val="yellow"/>
        </w:rPr>
      </w:pPr>
      <w:r w:rsidRPr="00AF7381">
        <w:rPr>
          <w:highlight w:val="yellow"/>
        </w:rPr>
        <w:t xml:space="preserve">Affordable housing and mainstream services are crucial tools for ending homelessness and must be involved in the coordinated entry process.  Mainstream providers can act as a source or receiver of referrals.  Receiving agencies include public housing authorities, multifamily properties (like Section 8 PBRA, 811, and 202), mental health service providers, and substance abuse providers.  </w:t>
      </w:r>
      <w:r w:rsidRPr="00AF7381">
        <w:rPr>
          <w:highlight w:val="yellow"/>
        </w:rPr>
        <w:lastRenderedPageBreak/>
        <w:t>Organizations acting as receiving agencies will determine the extent to which they will rely on referrals from the coordinated entry process.  In some instances, certain services may be co-located with a physical access point, or a virtual access point, like a telephone service such as 2-1-1.  The more mainstream programs and resources that are connected to the coordinated entry process through the coordination of referral, application, and eligibility determination processes, the more effectively our community can consistently connect homeless individuals with housing resources and the community-based supports that they need to maintain that housing.</w:t>
      </w:r>
    </w:p>
    <w:p w14:paraId="2A247951" w14:textId="77777777" w:rsidR="00AF7381" w:rsidRPr="00AF7381" w:rsidRDefault="00AF7381" w:rsidP="00AF7381">
      <w:pPr>
        <w:jc w:val="both"/>
        <w:rPr>
          <w:highlight w:val="yellow"/>
        </w:rPr>
      </w:pPr>
    </w:p>
    <w:p w14:paraId="544EE048" w14:textId="77777777" w:rsidR="00AF7381" w:rsidRPr="004B7B0B" w:rsidRDefault="00AF7381" w:rsidP="00AF7381">
      <w:pPr>
        <w:pStyle w:val="Heading2"/>
        <w:rPr>
          <w:color w:val="0070C0"/>
          <w:highlight w:val="yellow"/>
        </w:rPr>
      </w:pPr>
      <w:bookmarkStart w:id="10" w:name="_Toc34043171"/>
      <w:bookmarkStart w:id="11" w:name="_Toc124254972"/>
      <w:r w:rsidRPr="004B7B0B">
        <w:rPr>
          <w:color w:val="0070C0"/>
          <w:highlight w:val="yellow"/>
        </w:rPr>
        <w:t>HMIS</w:t>
      </w:r>
      <w:bookmarkEnd w:id="10"/>
      <w:bookmarkEnd w:id="11"/>
    </w:p>
    <w:p w14:paraId="70FF0B69" w14:textId="77777777" w:rsidR="00AF7381" w:rsidRPr="00AF7381" w:rsidRDefault="00AF7381" w:rsidP="00AF7381">
      <w:pPr>
        <w:jc w:val="both"/>
        <w:rPr>
          <w:highlight w:val="yellow"/>
        </w:rPr>
      </w:pPr>
      <w:r w:rsidRPr="00AF7381">
        <w:rPr>
          <w:highlight w:val="yellow"/>
        </w:rPr>
        <w:t xml:space="preserve">Communities may use CSCoC or ESG program funding for HMIS to pay for costs associated with coordinated entry to the extent that coordinated entry is integrated into HMIS.  CSCoC uses HMIS to collect and manage data associated with assessments and referrals.  </w:t>
      </w:r>
    </w:p>
    <w:p w14:paraId="0365B282" w14:textId="77777777" w:rsidR="00AF7381" w:rsidRPr="00AF7381" w:rsidRDefault="00AF7381" w:rsidP="00AF7381">
      <w:pPr>
        <w:jc w:val="both"/>
        <w:rPr>
          <w:highlight w:val="yellow"/>
        </w:rPr>
      </w:pPr>
    </w:p>
    <w:p w14:paraId="6F7DE656" w14:textId="77777777" w:rsidR="00AF7381" w:rsidRPr="004B7B0B" w:rsidRDefault="00AF7381" w:rsidP="00AF7381">
      <w:pPr>
        <w:pStyle w:val="Heading2"/>
        <w:rPr>
          <w:color w:val="0070C0"/>
          <w:highlight w:val="yellow"/>
        </w:rPr>
      </w:pPr>
      <w:bookmarkStart w:id="12" w:name="_Toc34043172"/>
      <w:bookmarkStart w:id="13" w:name="_Toc124254973"/>
      <w:r w:rsidRPr="004B7B0B">
        <w:rPr>
          <w:color w:val="0070C0"/>
          <w:highlight w:val="yellow"/>
        </w:rPr>
        <w:t>Inclusive</w:t>
      </w:r>
      <w:bookmarkEnd w:id="12"/>
      <w:bookmarkEnd w:id="13"/>
    </w:p>
    <w:p w14:paraId="4BFA6B86" w14:textId="77777777" w:rsidR="00AF7381" w:rsidRPr="00AF7381" w:rsidRDefault="00AF7381" w:rsidP="00AF7381">
      <w:pPr>
        <w:jc w:val="both"/>
        <w:rPr>
          <w:highlight w:val="yellow"/>
        </w:rPr>
      </w:pPr>
      <w:r w:rsidRPr="00AF7381">
        <w:rPr>
          <w:highlight w:val="yellow"/>
        </w:rPr>
        <w:t>CES includes all subpopulations, including households experiencing chronic homelessness, Veterans, families, youth, and survivors of domestic violence.  The CSCoC Board will continuously evaluate and improve the process ensuring that all subpopulations are well served.</w:t>
      </w:r>
    </w:p>
    <w:p w14:paraId="60FBDE4D" w14:textId="77777777" w:rsidR="00AF7381" w:rsidRPr="00AF7381" w:rsidRDefault="00AF7381" w:rsidP="00AF7381">
      <w:pPr>
        <w:jc w:val="both"/>
        <w:rPr>
          <w:highlight w:val="yellow"/>
        </w:rPr>
      </w:pPr>
    </w:p>
    <w:p w14:paraId="398C1C05" w14:textId="77777777" w:rsidR="00AF7381" w:rsidRPr="004B7B0B" w:rsidRDefault="00AF7381" w:rsidP="00AF7381">
      <w:pPr>
        <w:pStyle w:val="Heading2"/>
        <w:rPr>
          <w:color w:val="0070C0"/>
          <w:highlight w:val="yellow"/>
        </w:rPr>
      </w:pPr>
      <w:bookmarkStart w:id="14" w:name="_Toc34043173"/>
      <w:bookmarkStart w:id="15" w:name="_Toc124254974"/>
      <w:r w:rsidRPr="004B7B0B">
        <w:rPr>
          <w:color w:val="0070C0"/>
          <w:highlight w:val="yellow"/>
        </w:rPr>
        <w:t>Informing Local Planning</w:t>
      </w:r>
      <w:bookmarkEnd w:id="14"/>
      <w:bookmarkEnd w:id="15"/>
    </w:p>
    <w:p w14:paraId="4F1BC2CF" w14:textId="77777777" w:rsidR="00AF7381" w:rsidRPr="00AF7381" w:rsidRDefault="00AF7381" w:rsidP="00AF7381">
      <w:pPr>
        <w:jc w:val="both"/>
        <w:rPr>
          <w:highlight w:val="yellow"/>
        </w:rPr>
      </w:pPr>
      <w:r w:rsidRPr="00AF7381">
        <w:rPr>
          <w:highlight w:val="yellow"/>
        </w:rPr>
        <w:t xml:space="preserve">The coordinated entry planning group charged with planning the prioritization process will make decisions about the following aspects of prioritization.  However, not all pieces need to be in place for implementation to begin and may be done in stages.  </w:t>
      </w:r>
    </w:p>
    <w:p w14:paraId="770D549D" w14:textId="77777777" w:rsidR="00AF7381" w:rsidRPr="00AF7381" w:rsidRDefault="00AF7381" w:rsidP="00AF7381">
      <w:pPr>
        <w:jc w:val="both"/>
        <w:rPr>
          <w:highlight w:val="yellow"/>
        </w:rPr>
      </w:pPr>
    </w:p>
    <w:p w14:paraId="55740DEF" w14:textId="77777777" w:rsidR="00AF7381" w:rsidRPr="00AF7381" w:rsidRDefault="00AF7381" w:rsidP="00AF7381">
      <w:pPr>
        <w:rPr>
          <w:highlight w:val="yellow"/>
          <w:u w:val="single"/>
        </w:rPr>
      </w:pPr>
      <w:r w:rsidRPr="00AF7381">
        <w:rPr>
          <w:highlight w:val="yellow"/>
          <w:u w:val="single"/>
        </w:rPr>
        <w:t>The Prioritizing Entity</w:t>
      </w:r>
    </w:p>
    <w:p w14:paraId="60477040" w14:textId="77777777" w:rsidR="00AF7381" w:rsidRPr="00AF7381" w:rsidRDefault="00AF7381" w:rsidP="00AF7381">
      <w:pPr>
        <w:spacing w:after="120"/>
        <w:jc w:val="both"/>
        <w:rPr>
          <w:highlight w:val="yellow"/>
        </w:rPr>
      </w:pPr>
      <w:r w:rsidRPr="00AF7381">
        <w:rPr>
          <w:highlight w:val="yellow"/>
        </w:rPr>
        <w:t>This entity will be responsible for determining the level of priority for a household requesting assistance through coordinated entry and for managing the priority list.  If referrals will be made by an entity different from the prioritizing entity, the prioritizing entity will transmit information about the household to the referring entity, including the household’s level of priority, housing needs and barriers, preferences, and other information as appropriate.</w:t>
      </w:r>
    </w:p>
    <w:p w14:paraId="2FAA2CB4" w14:textId="77777777" w:rsidR="00AF7381" w:rsidRPr="00AF7381" w:rsidRDefault="00AF7381" w:rsidP="00AF7381">
      <w:pPr>
        <w:spacing w:before="240"/>
        <w:rPr>
          <w:highlight w:val="yellow"/>
          <w:u w:val="single"/>
        </w:rPr>
      </w:pPr>
      <w:r w:rsidRPr="00AF7381">
        <w:rPr>
          <w:highlight w:val="yellow"/>
          <w:u w:val="single"/>
        </w:rPr>
        <w:t>Establishing the Prioritization Method</w:t>
      </w:r>
    </w:p>
    <w:p w14:paraId="2E81CCFC" w14:textId="77777777" w:rsidR="00AF7381" w:rsidRPr="00AF7381" w:rsidRDefault="00AF7381">
      <w:pPr>
        <w:pStyle w:val="ListParagraph"/>
        <w:numPr>
          <w:ilvl w:val="0"/>
          <w:numId w:val="146"/>
        </w:numPr>
        <w:spacing w:after="120"/>
        <w:contextualSpacing w:val="0"/>
        <w:rPr>
          <w:highlight w:val="yellow"/>
        </w:rPr>
      </w:pPr>
      <w:r w:rsidRPr="00AF7381">
        <w:rPr>
          <w:highlight w:val="yellow"/>
        </w:rPr>
        <w:t>What types of prioritization decisions are already being made?  Are they based on level of need, time spent waiting for available resources, or provider agency preferences?</w:t>
      </w:r>
    </w:p>
    <w:p w14:paraId="44A19FFC" w14:textId="77777777" w:rsidR="00AF7381" w:rsidRPr="00AF7381" w:rsidRDefault="00AF7381">
      <w:pPr>
        <w:pStyle w:val="ListParagraph"/>
        <w:numPr>
          <w:ilvl w:val="0"/>
          <w:numId w:val="146"/>
        </w:numPr>
        <w:spacing w:after="120"/>
        <w:contextualSpacing w:val="0"/>
        <w:rPr>
          <w:highlight w:val="yellow"/>
        </w:rPr>
      </w:pPr>
      <w:r w:rsidRPr="00AF7381">
        <w:rPr>
          <w:highlight w:val="yellow"/>
        </w:rPr>
        <w:t>Do variations in housing and supportive services availability and accessibility throughout the geography require varied prioritization strategies?</w:t>
      </w:r>
    </w:p>
    <w:p w14:paraId="0783687B" w14:textId="77777777" w:rsidR="00AF7381" w:rsidRPr="00AF7381" w:rsidRDefault="00AF7381">
      <w:pPr>
        <w:pStyle w:val="ListParagraph"/>
        <w:numPr>
          <w:ilvl w:val="0"/>
          <w:numId w:val="146"/>
        </w:numPr>
        <w:spacing w:after="120"/>
        <w:contextualSpacing w:val="0"/>
        <w:rPr>
          <w:highlight w:val="yellow"/>
        </w:rPr>
      </w:pPr>
      <w:r w:rsidRPr="00AF7381">
        <w:rPr>
          <w:highlight w:val="yellow"/>
        </w:rPr>
        <w:t>Can prioritization be scored, quantified, or valued such that the priority list can be regularly reviewed and updated?</w:t>
      </w:r>
    </w:p>
    <w:p w14:paraId="574BF9AB" w14:textId="77777777" w:rsidR="00AF7381" w:rsidRPr="00AF7381" w:rsidRDefault="00AF7381">
      <w:pPr>
        <w:pStyle w:val="ListParagraph"/>
        <w:numPr>
          <w:ilvl w:val="0"/>
          <w:numId w:val="146"/>
        </w:numPr>
        <w:spacing w:after="120"/>
        <w:contextualSpacing w:val="0"/>
        <w:rPr>
          <w:highlight w:val="yellow"/>
        </w:rPr>
      </w:pPr>
      <w:r w:rsidRPr="00AF7381">
        <w:rPr>
          <w:highlight w:val="yellow"/>
        </w:rPr>
        <w:lastRenderedPageBreak/>
        <w:t>How will prioritization determinations be documented and communicated among projects?</w:t>
      </w:r>
    </w:p>
    <w:p w14:paraId="18B5FDCC" w14:textId="77777777" w:rsidR="00AF7381" w:rsidRPr="00AF7381" w:rsidRDefault="00AF7381">
      <w:pPr>
        <w:pStyle w:val="ListParagraph"/>
        <w:numPr>
          <w:ilvl w:val="0"/>
          <w:numId w:val="146"/>
        </w:numPr>
        <w:spacing w:after="120"/>
        <w:contextualSpacing w:val="0"/>
        <w:rPr>
          <w:highlight w:val="yellow"/>
        </w:rPr>
      </w:pPr>
      <w:r w:rsidRPr="00AF7381">
        <w:rPr>
          <w:highlight w:val="yellow"/>
        </w:rPr>
        <w:t>How will a household’s priority level be updated when new information is revealed or becomes available after the initial assessment?</w:t>
      </w:r>
    </w:p>
    <w:p w14:paraId="18D64B6F" w14:textId="77777777" w:rsidR="00AF7381" w:rsidRPr="00AF7381" w:rsidRDefault="00AF7381">
      <w:pPr>
        <w:pStyle w:val="ListParagraph"/>
        <w:numPr>
          <w:ilvl w:val="0"/>
          <w:numId w:val="146"/>
        </w:numPr>
        <w:spacing w:after="120"/>
        <w:contextualSpacing w:val="0"/>
        <w:rPr>
          <w:highlight w:val="yellow"/>
        </w:rPr>
      </w:pPr>
      <w:r w:rsidRPr="00AF7381">
        <w:rPr>
          <w:highlight w:val="yellow"/>
        </w:rPr>
        <w:t>Will households that frequently utilize projects and/or mainstream resources be prioritized differently; and if so, how?</w:t>
      </w:r>
    </w:p>
    <w:p w14:paraId="7018B05F" w14:textId="77777777" w:rsidR="00AF7381" w:rsidRPr="00AF7381" w:rsidRDefault="00AF7381">
      <w:pPr>
        <w:pStyle w:val="ListParagraph"/>
        <w:numPr>
          <w:ilvl w:val="0"/>
          <w:numId w:val="146"/>
        </w:numPr>
        <w:spacing w:after="120"/>
        <w:contextualSpacing w:val="0"/>
        <w:rPr>
          <w:highlight w:val="yellow"/>
        </w:rPr>
      </w:pPr>
      <w:r w:rsidRPr="00AF7381">
        <w:rPr>
          <w:highlight w:val="yellow"/>
        </w:rPr>
        <w:t>How will multiple existing and independently maintained waiting lists be consolidated into a centralized priority list?</w:t>
      </w:r>
    </w:p>
    <w:p w14:paraId="7E331E8D" w14:textId="77777777" w:rsidR="00AF7381" w:rsidRPr="00AF7381" w:rsidRDefault="00AF7381">
      <w:pPr>
        <w:pStyle w:val="ListParagraph"/>
        <w:numPr>
          <w:ilvl w:val="0"/>
          <w:numId w:val="146"/>
        </w:numPr>
        <w:contextualSpacing w:val="0"/>
        <w:rPr>
          <w:highlight w:val="yellow"/>
        </w:rPr>
      </w:pPr>
      <w:r w:rsidRPr="00AF7381">
        <w:rPr>
          <w:highlight w:val="yellow"/>
        </w:rPr>
        <w:t>What are the potentially different prioritization requirements established by funders that must be accommodated during the referral process?</w:t>
      </w:r>
    </w:p>
    <w:p w14:paraId="0A27F2C0" w14:textId="77777777" w:rsidR="00AF7381" w:rsidRPr="00AF7381" w:rsidRDefault="00AF7381" w:rsidP="00AF7381">
      <w:pPr>
        <w:pStyle w:val="ListParagraph"/>
        <w:contextualSpacing w:val="0"/>
        <w:rPr>
          <w:highlight w:val="yellow"/>
        </w:rPr>
      </w:pPr>
    </w:p>
    <w:p w14:paraId="3998560A" w14:textId="77777777" w:rsidR="00AF7381" w:rsidRPr="00AF7381" w:rsidRDefault="00AF7381" w:rsidP="00AF7381">
      <w:pPr>
        <w:jc w:val="both"/>
        <w:rPr>
          <w:highlight w:val="yellow"/>
        </w:rPr>
      </w:pPr>
      <w:r w:rsidRPr="00AF7381">
        <w:rPr>
          <w:highlight w:val="yellow"/>
        </w:rPr>
        <w:t>Information gathered through the coordinated entry process is used to guide homeless assistance planning and system change efforts across the CSCoC.</w:t>
      </w:r>
    </w:p>
    <w:p w14:paraId="24299081" w14:textId="77777777" w:rsidR="00AF7381" w:rsidRPr="00AF7381" w:rsidRDefault="00AF7381" w:rsidP="00AF7381">
      <w:pPr>
        <w:jc w:val="both"/>
        <w:rPr>
          <w:highlight w:val="yellow"/>
        </w:rPr>
      </w:pPr>
    </w:p>
    <w:p w14:paraId="69997AA7" w14:textId="77777777" w:rsidR="00AF7381" w:rsidRPr="00AF7381" w:rsidRDefault="00AF7381" w:rsidP="00AF7381">
      <w:pPr>
        <w:jc w:val="both"/>
        <w:rPr>
          <w:highlight w:val="yellow"/>
        </w:rPr>
      </w:pPr>
      <w:r w:rsidRPr="00AF7381">
        <w:rPr>
          <w:highlight w:val="yellow"/>
        </w:rPr>
        <w:t xml:space="preserve">One of the main purposes of coordinated entry is to ensure that households with the most severe service needs and levels of vulnerability are prioritized for housing and homeless assistance. HUD’s policy is that households experiencing chronic homelessness should be prioritized for permanent supportive housing (PSH). In some cases, PSH projects are required to serve households experiencing chronic homelessness and in other cases, HUD provides incentives for projects to do so. Therefore, the CSCoC will fully implement the prioritization process included in Notice CPD-014-12. In addition to prioritizing households experiencing chronic homelessness, the coordinated entry process prioritizes households who are more likely to need some form of assistance to end their homelessness or who are more vulnerable to the effects of homelessness. </w:t>
      </w:r>
    </w:p>
    <w:p w14:paraId="4003580C" w14:textId="77777777" w:rsidR="00AF7381" w:rsidRPr="00AF7381" w:rsidRDefault="00AF7381" w:rsidP="00AF7381">
      <w:pPr>
        <w:jc w:val="both"/>
        <w:rPr>
          <w:highlight w:val="yellow"/>
        </w:rPr>
      </w:pPr>
    </w:p>
    <w:p w14:paraId="5B55961B" w14:textId="77777777" w:rsidR="00AF7381" w:rsidRPr="00AF7381" w:rsidRDefault="00AF7381" w:rsidP="00AF7381">
      <w:pPr>
        <w:jc w:val="both"/>
        <w:rPr>
          <w:highlight w:val="yellow"/>
        </w:rPr>
      </w:pPr>
      <w:r w:rsidRPr="00AF7381">
        <w:rPr>
          <w:highlight w:val="yellow"/>
        </w:rPr>
        <w:t xml:space="preserve">When considering how to prioritize households for housing and homelessness assistance, CSCoC uses the following: </w:t>
      </w:r>
    </w:p>
    <w:p w14:paraId="7D6C6A2A" w14:textId="77777777" w:rsidR="00AF7381" w:rsidRPr="00AF7381" w:rsidRDefault="00AF7381">
      <w:pPr>
        <w:pStyle w:val="ListParagraph"/>
        <w:numPr>
          <w:ilvl w:val="0"/>
          <w:numId w:val="151"/>
        </w:numPr>
        <w:spacing w:after="120"/>
        <w:contextualSpacing w:val="0"/>
        <w:jc w:val="both"/>
        <w:rPr>
          <w:highlight w:val="yellow"/>
        </w:rPr>
      </w:pPr>
      <w:r w:rsidRPr="00AF7381">
        <w:rPr>
          <w:highlight w:val="yellow"/>
        </w:rPr>
        <w:t xml:space="preserve">Significant health or behavioral health challenges or functional impairments which require a significant level of support in order to maintain permanent housing; </w:t>
      </w:r>
    </w:p>
    <w:p w14:paraId="4331BDBA" w14:textId="77777777" w:rsidR="00AF7381" w:rsidRPr="00AF7381" w:rsidRDefault="00AF7381">
      <w:pPr>
        <w:pStyle w:val="ListParagraph"/>
        <w:numPr>
          <w:ilvl w:val="0"/>
          <w:numId w:val="151"/>
        </w:numPr>
        <w:spacing w:after="120"/>
        <w:contextualSpacing w:val="0"/>
        <w:jc w:val="both"/>
        <w:rPr>
          <w:highlight w:val="yellow"/>
        </w:rPr>
      </w:pPr>
      <w:r w:rsidRPr="00AF7381">
        <w:rPr>
          <w:highlight w:val="yellow"/>
        </w:rPr>
        <w:t xml:space="preserve">High utilization of crisis or emergency services, including emergency rooms, jails, and psychiatric facilities, to meet basic needs </w:t>
      </w:r>
    </w:p>
    <w:p w14:paraId="664854C5" w14:textId="77777777" w:rsidR="00AF7381" w:rsidRPr="00AF7381" w:rsidRDefault="00AF7381">
      <w:pPr>
        <w:pStyle w:val="ListParagraph"/>
        <w:numPr>
          <w:ilvl w:val="0"/>
          <w:numId w:val="151"/>
        </w:numPr>
        <w:spacing w:after="120"/>
        <w:contextualSpacing w:val="0"/>
        <w:jc w:val="both"/>
        <w:rPr>
          <w:highlight w:val="yellow"/>
        </w:rPr>
      </w:pPr>
      <w:r w:rsidRPr="00AF7381">
        <w:rPr>
          <w:highlight w:val="yellow"/>
        </w:rPr>
        <w:t>The extent to which households, especially youth and children, are unsheltered</w:t>
      </w:r>
      <w:r w:rsidRPr="00AF7381">
        <w:rPr>
          <w:rStyle w:val="FootnoteReference"/>
          <w:highlight w:val="yellow"/>
        </w:rPr>
        <w:footnoteReference w:id="1"/>
      </w:r>
      <w:r w:rsidRPr="00AF7381">
        <w:rPr>
          <w:highlight w:val="yellow"/>
        </w:rPr>
        <w:t xml:space="preserve"> </w:t>
      </w:r>
    </w:p>
    <w:p w14:paraId="7FE8FF5A" w14:textId="77777777" w:rsidR="00AF7381" w:rsidRPr="00AF7381" w:rsidRDefault="00AF7381">
      <w:pPr>
        <w:pStyle w:val="ListParagraph"/>
        <w:numPr>
          <w:ilvl w:val="0"/>
          <w:numId w:val="151"/>
        </w:numPr>
        <w:spacing w:after="120"/>
        <w:contextualSpacing w:val="0"/>
        <w:jc w:val="both"/>
        <w:rPr>
          <w:highlight w:val="yellow"/>
        </w:rPr>
      </w:pPr>
      <w:r w:rsidRPr="00AF7381">
        <w:rPr>
          <w:highlight w:val="yellow"/>
        </w:rPr>
        <w:t xml:space="preserve">Vulnerability to illness or death </w:t>
      </w:r>
    </w:p>
    <w:p w14:paraId="28990E37" w14:textId="77777777" w:rsidR="00AF7381" w:rsidRPr="00AF7381" w:rsidRDefault="00AF7381">
      <w:pPr>
        <w:pStyle w:val="ListParagraph"/>
        <w:numPr>
          <w:ilvl w:val="0"/>
          <w:numId w:val="151"/>
        </w:numPr>
        <w:spacing w:after="120"/>
        <w:contextualSpacing w:val="0"/>
        <w:jc w:val="both"/>
        <w:rPr>
          <w:highlight w:val="yellow"/>
        </w:rPr>
      </w:pPr>
      <w:r w:rsidRPr="00AF7381">
        <w:rPr>
          <w:highlight w:val="yellow"/>
        </w:rPr>
        <w:t xml:space="preserve">Risk of continued homelessness </w:t>
      </w:r>
    </w:p>
    <w:p w14:paraId="12C32AD3" w14:textId="77777777" w:rsidR="00AF7381" w:rsidRPr="00AF7381" w:rsidRDefault="00AF7381">
      <w:pPr>
        <w:pStyle w:val="ListParagraph"/>
        <w:numPr>
          <w:ilvl w:val="0"/>
          <w:numId w:val="151"/>
        </w:numPr>
        <w:contextualSpacing w:val="0"/>
        <w:jc w:val="both"/>
        <w:rPr>
          <w:highlight w:val="yellow"/>
        </w:rPr>
      </w:pPr>
      <w:r w:rsidRPr="00AF7381">
        <w:rPr>
          <w:highlight w:val="yellow"/>
        </w:rPr>
        <w:lastRenderedPageBreak/>
        <w:t xml:space="preserve">Vulnerability to victimization, including physical assault or engaging in trafficking or sex work </w:t>
      </w:r>
    </w:p>
    <w:p w14:paraId="644EA822" w14:textId="77777777" w:rsidR="00AF7381" w:rsidRPr="00AF7381" w:rsidRDefault="00AF7381" w:rsidP="00AF7381">
      <w:pPr>
        <w:pStyle w:val="ListParagraph"/>
        <w:contextualSpacing w:val="0"/>
        <w:jc w:val="both"/>
        <w:rPr>
          <w:highlight w:val="yellow"/>
        </w:rPr>
      </w:pPr>
    </w:p>
    <w:p w14:paraId="38950522" w14:textId="3A847D80" w:rsidR="00AF7381" w:rsidRDefault="00AF7381" w:rsidP="00AF7381">
      <w:pPr>
        <w:jc w:val="both"/>
        <w:rPr>
          <w:highlight w:val="yellow"/>
        </w:rPr>
      </w:pPr>
      <w:r w:rsidRPr="00AF7381">
        <w:rPr>
          <w:highlight w:val="yellow"/>
        </w:rPr>
        <w:t xml:space="preserve">Our community shall decide what factors are most important and, to the greatest extent possible, use all available data and research to inform the CSCoC prioritization decisions. The coordinated entry process is meant to orient our community to one or two central prioritizing principles by which the CSCoC can make decisions about how to utilize resources most effectively. This prioritization ensures that across subpopulations and households with different types of disabilities, those most vulnerable or with the most severe service needs are prioritized for assistance. </w:t>
      </w:r>
    </w:p>
    <w:p w14:paraId="07CF75D7" w14:textId="77777777" w:rsidR="002E4855" w:rsidRPr="00AF7381" w:rsidRDefault="002E4855" w:rsidP="00AF7381">
      <w:pPr>
        <w:jc w:val="both"/>
        <w:rPr>
          <w:highlight w:val="yellow"/>
        </w:rPr>
      </w:pPr>
    </w:p>
    <w:p w14:paraId="47F2A897" w14:textId="77777777" w:rsidR="00AF7381" w:rsidRPr="00AF7381" w:rsidRDefault="00AF7381" w:rsidP="00AF7381">
      <w:pPr>
        <w:jc w:val="both"/>
        <w:rPr>
          <w:highlight w:val="yellow"/>
        </w:rPr>
      </w:pPr>
      <w:r w:rsidRPr="00AF7381">
        <w:rPr>
          <w:highlight w:val="yellow"/>
        </w:rPr>
        <w:t>The prioritization may not target a category of households with a specific disability.  However, individual programs, including CSCoC funded projects, may restrict access to households with a specific disability or characteristic.   In these cases, the coordinated entry process shall ensure that households are only referred to projects for which they are eligible.  At the same time, service providers must ensure that eligibility criteria are limited to those required by Federal or local statute or by funding sources.</w:t>
      </w:r>
    </w:p>
    <w:p w14:paraId="433A8E62" w14:textId="77777777" w:rsidR="00AF7381" w:rsidRPr="00AF7381" w:rsidRDefault="00AF7381" w:rsidP="00AF7381">
      <w:pPr>
        <w:jc w:val="both"/>
        <w:rPr>
          <w:highlight w:val="yellow"/>
        </w:rPr>
      </w:pPr>
    </w:p>
    <w:p w14:paraId="38752429" w14:textId="77777777" w:rsidR="00AF7381" w:rsidRPr="004B7B0B" w:rsidRDefault="00AF7381" w:rsidP="00AF7381">
      <w:pPr>
        <w:pStyle w:val="Heading2"/>
        <w:rPr>
          <w:color w:val="0070C0"/>
          <w:highlight w:val="yellow"/>
        </w:rPr>
      </w:pPr>
      <w:bookmarkStart w:id="16" w:name="_Toc34043174"/>
      <w:bookmarkStart w:id="17" w:name="_Toc124254975"/>
      <w:r w:rsidRPr="004B7B0B">
        <w:rPr>
          <w:color w:val="0070C0"/>
          <w:highlight w:val="yellow"/>
        </w:rPr>
        <w:t>Leverage Local Attributes and Capacity</w:t>
      </w:r>
      <w:bookmarkEnd w:id="16"/>
      <w:bookmarkEnd w:id="17"/>
    </w:p>
    <w:p w14:paraId="00F91B94" w14:textId="77777777" w:rsidR="00AF7381" w:rsidRPr="00AF7381" w:rsidRDefault="00AF7381" w:rsidP="00AF7381">
      <w:pPr>
        <w:jc w:val="both"/>
        <w:rPr>
          <w:highlight w:val="yellow"/>
        </w:rPr>
      </w:pPr>
      <w:r w:rsidRPr="00AF7381">
        <w:rPr>
          <w:highlight w:val="yellow"/>
        </w:rPr>
        <w:t>CSCoC’s physical and political geography, including local agency capacity, and the opportunities unique to the service area, shall inform local coordinated entry implementation.</w:t>
      </w:r>
    </w:p>
    <w:p w14:paraId="6FA3B8B5" w14:textId="77777777" w:rsidR="00AF7381" w:rsidRPr="00AF7381" w:rsidRDefault="00AF7381" w:rsidP="00AF7381">
      <w:pPr>
        <w:jc w:val="both"/>
        <w:rPr>
          <w:highlight w:val="yellow"/>
        </w:rPr>
      </w:pPr>
    </w:p>
    <w:p w14:paraId="76F1DD94" w14:textId="77777777" w:rsidR="00AF7381" w:rsidRPr="004B7B0B" w:rsidRDefault="00AF7381" w:rsidP="00AF7381">
      <w:pPr>
        <w:pStyle w:val="Heading2"/>
        <w:rPr>
          <w:color w:val="0070C0"/>
          <w:highlight w:val="yellow"/>
        </w:rPr>
      </w:pPr>
      <w:bookmarkStart w:id="18" w:name="_Toc34043175"/>
      <w:bookmarkStart w:id="19" w:name="_Toc124254976"/>
      <w:r w:rsidRPr="004B7B0B">
        <w:rPr>
          <w:color w:val="0070C0"/>
          <w:highlight w:val="yellow"/>
        </w:rPr>
        <w:t>Low Barrier</w:t>
      </w:r>
      <w:bookmarkEnd w:id="18"/>
      <w:bookmarkEnd w:id="19"/>
    </w:p>
    <w:p w14:paraId="37CE7CD0" w14:textId="77777777" w:rsidR="00AF7381" w:rsidRPr="00AF7381" w:rsidRDefault="00AF7381" w:rsidP="00AF7381">
      <w:pPr>
        <w:jc w:val="both"/>
        <w:rPr>
          <w:highlight w:val="yellow"/>
        </w:rPr>
      </w:pPr>
      <w:r w:rsidRPr="00AF7381">
        <w:rPr>
          <w:highlight w:val="yellow"/>
        </w:rPr>
        <w:t xml:space="preserve">The CSCoC’s CES is Housing First oriented, such that households are housed quickly without preconditions or project participation requirements.  The CES does not screen households out for assistance due to perceived barriers to projects, including, but not limited to, little or no income, active or a history of substance use, domestic violence history, resistance to receiving services, the type or extent of disability-related services or supports that are needed, history of evictions or poor credit, lease violations or history of not being a leaseholder, or criminal record (with exceptions for state or local restrictions that prevent projects from servicing households with certain convictions).  To be consistent with HUD’s expectations, the coordinated entry process and participating projects shall continually strive to identify and lower barriers to project entry.  </w:t>
      </w:r>
    </w:p>
    <w:p w14:paraId="07970FC2" w14:textId="77777777" w:rsidR="00AF7381" w:rsidRPr="00AF7381" w:rsidRDefault="00AF7381" w:rsidP="00AF7381">
      <w:pPr>
        <w:jc w:val="both"/>
        <w:rPr>
          <w:highlight w:val="yellow"/>
        </w:rPr>
      </w:pPr>
    </w:p>
    <w:p w14:paraId="494430EF" w14:textId="77777777" w:rsidR="00AF7381" w:rsidRPr="004B7B0B" w:rsidRDefault="00AF7381" w:rsidP="00AF7381">
      <w:pPr>
        <w:pStyle w:val="Heading2"/>
        <w:rPr>
          <w:color w:val="0070C0"/>
          <w:highlight w:val="yellow"/>
        </w:rPr>
      </w:pPr>
      <w:bookmarkStart w:id="20" w:name="_Toc34043176"/>
      <w:bookmarkStart w:id="21" w:name="_Toc124254977"/>
      <w:r w:rsidRPr="004B7B0B">
        <w:rPr>
          <w:color w:val="0070C0"/>
          <w:highlight w:val="yellow"/>
        </w:rPr>
        <w:t>Participant Autonomy</w:t>
      </w:r>
      <w:bookmarkEnd w:id="20"/>
      <w:bookmarkEnd w:id="21"/>
    </w:p>
    <w:p w14:paraId="58162826" w14:textId="77777777" w:rsidR="00AF7381" w:rsidRPr="00AF7381" w:rsidRDefault="00AF7381" w:rsidP="00AF7381">
      <w:pPr>
        <w:jc w:val="both"/>
        <w:rPr>
          <w:highlight w:val="yellow"/>
        </w:rPr>
      </w:pPr>
      <w:r w:rsidRPr="00AF7381">
        <w:rPr>
          <w:highlight w:val="yellow"/>
        </w:rPr>
        <w:t>CSCoC’s coordinated entry process allows households autonomy to freely refuse to answer assessment questions and to refuse project options without retribution or limiting their access to assistance.</w:t>
      </w:r>
    </w:p>
    <w:p w14:paraId="650F2626" w14:textId="77777777" w:rsidR="00AF7381" w:rsidRPr="00AF7381" w:rsidRDefault="00AF7381" w:rsidP="00AF7381">
      <w:pPr>
        <w:jc w:val="both"/>
        <w:rPr>
          <w:highlight w:val="yellow"/>
        </w:rPr>
      </w:pPr>
    </w:p>
    <w:p w14:paraId="113772AC" w14:textId="77777777" w:rsidR="00AF7381" w:rsidRPr="004B7B0B" w:rsidRDefault="00AF7381" w:rsidP="00AF7381">
      <w:pPr>
        <w:pStyle w:val="Heading2"/>
        <w:rPr>
          <w:color w:val="0070C0"/>
          <w:highlight w:val="yellow"/>
        </w:rPr>
      </w:pPr>
      <w:bookmarkStart w:id="22" w:name="_Toc34043177"/>
      <w:bookmarkStart w:id="23" w:name="_Toc124254978"/>
      <w:r w:rsidRPr="004B7B0B">
        <w:rPr>
          <w:color w:val="0070C0"/>
          <w:highlight w:val="yellow"/>
        </w:rPr>
        <w:t>Person-Centered Approach</w:t>
      </w:r>
      <w:bookmarkEnd w:id="22"/>
      <w:bookmarkEnd w:id="23"/>
    </w:p>
    <w:p w14:paraId="1736F56C" w14:textId="3D242104" w:rsidR="00AF7381" w:rsidRPr="00AF7381" w:rsidRDefault="00AF7381" w:rsidP="00AF7381">
      <w:pPr>
        <w:spacing w:after="120"/>
        <w:jc w:val="both"/>
        <w:rPr>
          <w:highlight w:val="yellow"/>
        </w:rPr>
      </w:pPr>
      <w:r w:rsidRPr="00AF7381">
        <w:rPr>
          <w:highlight w:val="yellow"/>
        </w:rPr>
        <w:t>The CSCoC incorporates a person-centered approach into referral which include, but are not limited to, the following:</w:t>
      </w:r>
    </w:p>
    <w:p w14:paraId="3271E7E8" w14:textId="77777777" w:rsidR="00AF7381" w:rsidRPr="00AF7381" w:rsidRDefault="00AF7381" w:rsidP="00AF7381">
      <w:pPr>
        <w:spacing w:before="240"/>
        <w:jc w:val="both"/>
        <w:rPr>
          <w:highlight w:val="yellow"/>
        </w:rPr>
      </w:pPr>
      <w:r w:rsidRPr="00AF7381">
        <w:rPr>
          <w:highlight w:val="yellow"/>
          <w:u w:val="single"/>
        </w:rPr>
        <w:lastRenderedPageBreak/>
        <w:t>Person-Centered Assessments</w:t>
      </w:r>
      <w:r w:rsidRPr="00AF7381">
        <w:rPr>
          <w:highlight w:val="yellow"/>
        </w:rPr>
        <w:t xml:space="preserve"> </w:t>
      </w:r>
    </w:p>
    <w:p w14:paraId="56DA878C" w14:textId="77777777" w:rsidR="00AF7381" w:rsidRPr="00AF7381" w:rsidRDefault="00AF7381" w:rsidP="00AF7381">
      <w:pPr>
        <w:jc w:val="both"/>
        <w:rPr>
          <w:highlight w:val="yellow"/>
        </w:rPr>
      </w:pPr>
      <w:r w:rsidRPr="00AF7381">
        <w:rPr>
          <w:highlight w:val="yellow"/>
        </w:rPr>
        <w:t>The assessment process provides options and recommendations that guide and inform personal choices, as opposed to rigid decisions about what households need.  Assessments are based in part on households’ strengths, goals, risks, and protective factors.  At its core, the assessment process is not a one-time event to gather as much information about a household as possible.  Instead, assessments are performed only when needed and only assess for information necessary to help a household at that moment.  Initial assessments happen as quickly as possible regardless of where households are residing – streets or in shelter, and the assessment process uses tools as a guide to start the conversation, not as a final decision-maker.</w:t>
      </w:r>
    </w:p>
    <w:p w14:paraId="188EDEA7" w14:textId="77777777" w:rsidR="00AF7381" w:rsidRPr="00AF7381" w:rsidRDefault="00AF7381" w:rsidP="00AF7381">
      <w:pPr>
        <w:jc w:val="both"/>
        <w:rPr>
          <w:highlight w:val="yellow"/>
        </w:rPr>
      </w:pPr>
    </w:p>
    <w:p w14:paraId="3C006983" w14:textId="77777777" w:rsidR="00AF7381" w:rsidRPr="00AF7381" w:rsidRDefault="00AF7381" w:rsidP="00AF7381">
      <w:pPr>
        <w:jc w:val="both"/>
        <w:rPr>
          <w:highlight w:val="yellow"/>
          <w:u w:val="single"/>
        </w:rPr>
      </w:pPr>
      <w:r w:rsidRPr="00AF7381">
        <w:rPr>
          <w:highlight w:val="yellow"/>
          <w:u w:val="single"/>
        </w:rPr>
        <w:t xml:space="preserve">School Enrollment and Connection </w:t>
      </w:r>
      <w:proofErr w:type="gramStart"/>
      <w:r w:rsidRPr="00AF7381">
        <w:rPr>
          <w:highlight w:val="yellow"/>
          <w:u w:val="single"/>
        </w:rPr>
        <w:t>To</w:t>
      </w:r>
      <w:proofErr w:type="gramEnd"/>
      <w:r w:rsidRPr="00AF7381">
        <w:rPr>
          <w:highlight w:val="yellow"/>
          <w:u w:val="single"/>
        </w:rPr>
        <w:t xml:space="preserve"> Appropriate Resources For All Children</w:t>
      </w:r>
    </w:p>
    <w:p w14:paraId="76DC8CF2" w14:textId="77777777" w:rsidR="00AF7381" w:rsidRPr="00AF7381" w:rsidRDefault="00AF7381" w:rsidP="00AF7381">
      <w:pPr>
        <w:spacing w:after="120"/>
        <w:jc w:val="both"/>
        <w:rPr>
          <w:highlight w:val="yellow"/>
        </w:rPr>
      </w:pPr>
      <w:r w:rsidRPr="00AF7381">
        <w:rPr>
          <w:highlight w:val="yellow"/>
        </w:rPr>
        <w:t>Educational and supportive service needs of households with minor children will be fully assessed with expediency upon entry to CES.  School-aged youth will be enrolled in school immediately, working collaboratively with the designated school homeless liaison in the Local Educational Agency (LEA) to ensure that all educational assessments are completed.  To the extent feasible, students in homeless situations shall be kept in their school of origin (the school the student attended when permanently housed or the school in which the student was last enrolled), unless it is against the parent’s or guardian’s wishes.  Students in homeless situations must have access to the educational and other services they need to ensure that they have an opportunity to meet the same challenging state student academic achievement standards to which all students are held.  Appropriate referrals will be made in the community to address supportive service needs of all household members.</w:t>
      </w:r>
    </w:p>
    <w:p w14:paraId="06180F43" w14:textId="77777777" w:rsidR="00AF7381" w:rsidRPr="00AF7381" w:rsidRDefault="00AF7381" w:rsidP="00AF7381">
      <w:pPr>
        <w:spacing w:before="240"/>
        <w:jc w:val="both"/>
        <w:rPr>
          <w:highlight w:val="yellow"/>
        </w:rPr>
      </w:pPr>
      <w:r w:rsidRPr="00AF7381">
        <w:rPr>
          <w:highlight w:val="yellow"/>
          <w:u w:val="single"/>
        </w:rPr>
        <w:t>Accessible Tools and Processes</w:t>
      </w:r>
      <w:r w:rsidRPr="00AF7381">
        <w:rPr>
          <w:highlight w:val="yellow"/>
        </w:rPr>
        <w:t xml:space="preserve"> </w:t>
      </w:r>
    </w:p>
    <w:p w14:paraId="640E2DD1" w14:textId="33DF363A" w:rsidR="00AF7381" w:rsidRPr="00AF7381" w:rsidRDefault="00AF7381" w:rsidP="00AF7381">
      <w:pPr>
        <w:spacing w:after="120"/>
        <w:jc w:val="both"/>
        <w:rPr>
          <w:highlight w:val="yellow"/>
        </w:rPr>
      </w:pPr>
      <w:r w:rsidRPr="00AF7381">
        <w:rPr>
          <w:highlight w:val="yellow"/>
        </w:rPr>
        <w:t xml:space="preserve">These </w:t>
      </w:r>
      <w:r w:rsidR="00CF123B">
        <w:rPr>
          <w:highlight w:val="yellow"/>
        </w:rPr>
        <w:t>Written Standards</w:t>
      </w:r>
      <w:r w:rsidRPr="00AF7381">
        <w:rPr>
          <w:highlight w:val="yellow"/>
        </w:rPr>
        <w:t xml:space="preserve"> strive to ensure that households being assessed and referred are using accessible formats for households with disabilities, meeting the requirements in II.B.(c) of CPD 17.01, and use tools and processes that the households being assessed and referred can easily understand.</w:t>
      </w:r>
    </w:p>
    <w:p w14:paraId="0F0098C6" w14:textId="77777777" w:rsidR="00AF7381" w:rsidRPr="00AF7381" w:rsidRDefault="00AF7381" w:rsidP="00AF7381">
      <w:pPr>
        <w:spacing w:before="240"/>
        <w:jc w:val="both"/>
        <w:rPr>
          <w:highlight w:val="yellow"/>
        </w:rPr>
      </w:pPr>
      <w:r w:rsidRPr="00AF7381">
        <w:rPr>
          <w:highlight w:val="yellow"/>
          <w:u w:val="single"/>
        </w:rPr>
        <w:t>Sensitivity to Lived Experience</w:t>
      </w:r>
      <w:r w:rsidRPr="00AF7381">
        <w:rPr>
          <w:highlight w:val="yellow"/>
        </w:rPr>
        <w:t xml:space="preserve"> </w:t>
      </w:r>
    </w:p>
    <w:p w14:paraId="24F1A259" w14:textId="77777777" w:rsidR="00AF7381" w:rsidRPr="00AF7381" w:rsidRDefault="00AF7381" w:rsidP="00AF7381">
      <w:pPr>
        <w:spacing w:after="120"/>
        <w:jc w:val="both"/>
        <w:rPr>
          <w:highlight w:val="yellow"/>
        </w:rPr>
      </w:pPr>
      <w:r w:rsidRPr="00AF7381">
        <w:rPr>
          <w:highlight w:val="yellow"/>
        </w:rPr>
        <w:t xml:space="preserve">Sensitivity to households’ lived experiences are incorporated into every aspect of the CES, including the ongoing review of assessment tools and delivery protocols that are trauma-informed, minimize risk and harm, and address potential psychological impacts.  </w:t>
      </w:r>
    </w:p>
    <w:p w14:paraId="64EDEF92" w14:textId="77777777" w:rsidR="00AF7381" w:rsidRPr="00AF7381" w:rsidRDefault="00AF7381" w:rsidP="00AF7381">
      <w:pPr>
        <w:spacing w:before="240"/>
        <w:jc w:val="both"/>
        <w:rPr>
          <w:highlight w:val="yellow"/>
        </w:rPr>
      </w:pPr>
      <w:r w:rsidRPr="00AF7381">
        <w:rPr>
          <w:highlight w:val="yellow"/>
          <w:u w:val="single"/>
        </w:rPr>
        <w:t>Participant Choice</w:t>
      </w:r>
      <w:r w:rsidRPr="00AF7381">
        <w:rPr>
          <w:highlight w:val="yellow"/>
        </w:rPr>
        <w:t xml:space="preserve"> </w:t>
      </w:r>
    </w:p>
    <w:p w14:paraId="170C9992" w14:textId="77777777" w:rsidR="00AF7381" w:rsidRPr="00AF7381" w:rsidRDefault="00AF7381" w:rsidP="00AF7381">
      <w:pPr>
        <w:spacing w:after="120"/>
        <w:jc w:val="both"/>
        <w:rPr>
          <w:highlight w:val="yellow"/>
        </w:rPr>
      </w:pPr>
      <w:r w:rsidRPr="00AF7381">
        <w:rPr>
          <w:highlight w:val="yellow"/>
        </w:rPr>
        <w:t>Participants’ choices in coordinated entry process decisions, such as location and type of housing, level and type of services, and other project characteristics, are fully accommodated  where possible, given overriding health and safety concerns and compliance with outstanding legal requirements.  The ongoing development of assessment processes that provide options and recommendations are also guided and informed by participant choice, as opposed to rigid decisions about what households need.</w:t>
      </w:r>
    </w:p>
    <w:p w14:paraId="596C2E3C" w14:textId="77777777" w:rsidR="00AF7381" w:rsidRPr="00AF7381" w:rsidRDefault="00AF7381" w:rsidP="00AF7381">
      <w:pPr>
        <w:spacing w:before="240"/>
        <w:jc w:val="both"/>
        <w:rPr>
          <w:highlight w:val="yellow"/>
        </w:rPr>
      </w:pPr>
      <w:r w:rsidRPr="00AF7381">
        <w:rPr>
          <w:highlight w:val="yellow"/>
          <w:u w:val="single"/>
        </w:rPr>
        <w:t>Clear Referral Expectations</w:t>
      </w:r>
      <w:r w:rsidRPr="00AF7381">
        <w:rPr>
          <w:highlight w:val="yellow"/>
        </w:rPr>
        <w:t xml:space="preserve"> </w:t>
      </w:r>
    </w:p>
    <w:p w14:paraId="2636967B" w14:textId="611D8248" w:rsidR="00AF7381" w:rsidRPr="00AF7381" w:rsidRDefault="00AF7381" w:rsidP="00AF7381">
      <w:pPr>
        <w:spacing w:after="120"/>
        <w:jc w:val="both"/>
        <w:rPr>
          <w:highlight w:val="yellow"/>
        </w:rPr>
      </w:pPr>
      <w:r w:rsidRPr="00AF7381">
        <w:rPr>
          <w:highlight w:val="yellow"/>
        </w:rPr>
        <w:t xml:space="preserve">These </w:t>
      </w:r>
      <w:r w:rsidR="00CF123B">
        <w:rPr>
          <w:highlight w:val="yellow"/>
        </w:rPr>
        <w:t>Written Standards</w:t>
      </w:r>
      <w:r w:rsidRPr="00AF7381">
        <w:rPr>
          <w:highlight w:val="yellow"/>
        </w:rPr>
        <w:t xml:space="preserve"> shall be modified to ensure that households will be able to easily understand to which project they are being referred, what the project expects of them, what they can expect of the project, and evidence of the project’s rate of success.  </w:t>
      </w:r>
    </w:p>
    <w:p w14:paraId="1737A8A1" w14:textId="77777777" w:rsidR="00AF7381" w:rsidRPr="00AF7381" w:rsidRDefault="00AF7381" w:rsidP="00AF7381">
      <w:pPr>
        <w:spacing w:before="240"/>
        <w:jc w:val="both"/>
        <w:rPr>
          <w:highlight w:val="yellow"/>
        </w:rPr>
      </w:pPr>
      <w:r w:rsidRPr="00AF7381">
        <w:rPr>
          <w:highlight w:val="yellow"/>
          <w:u w:val="single"/>
        </w:rPr>
        <w:lastRenderedPageBreak/>
        <w:t>Commitment to Referral Success</w:t>
      </w:r>
      <w:r w:rsidRPr="00AF7381">
        <w:rPr>
          <w:highlight w:val="yellow"/>
        </w:rPr>
        <w:t xml:space="preserve"> </w:t>
      </w:r>
    </w:p>
    <w:p w14:paraId="4D4CE7F4" w14:textId="77777777" w:rsidR="00AF7381" w:rsidRPr="00AF7381" w:rsidRDefault="00AF7381" w:rsidP="00AF7381">
      <w:pPr>
        <w:jc w:val="both"/>
        <w:rPr>
          <w:highlight w:val="yellow"/>
        </w:rPr>
      </w:pPr>
      <w:r w:rsidRPr="00AF7381">
        <w:rPr>
          <w:highlight w:val="yellow"/>
        </w:rPr>
        <w:t>The service providers in the CES commit to successfully completing the referral process once a referral decision has been made through coordinated entry, including supporting the safe transition of households from an access point or emergency shelter to housing, and supporting households in identifying and accessing an alternate suitable project in the rare instance of an eligible household being rejected by a participating project.</w:t>
      </w:r>
    </w:p>
    <w:p w14:paraId="1A6B4FB6" w14:textId="77777777" w:rsidR="00AF7381" w:rsidRPr="00AF7381" w:rsidRDefault="00AF7381" w:rsidP="00AF7381">
      <w:pPr>
        <w:jc w:val="both"/>
        <w:rPr>
          <w:highlight w:val="yellow"/>
        </w:rPr>
      </w:pPr>
    </w:p>
    <w:p w14:paraId="21DDCB51" w14:textId="77777777" w:rsidR="00AF7381" w:rsidRPr="004B7B0B" w:rsidRDefault="00AF7381" w:rsidP="00AF7381">
      <w:pPr>
        <w:pStyle w:val="Heading2"/>
        <w:rPr>
          <w:color w:val="0070C0"/>
          <w:highlight w:val="yellow"/>
        </w:rPr>
      </w:pPr>
      <w:bookmarkStart w:id="24" w:name="_Toc34043178"/>
      <w:bookmarkStart w:id="25" w:name="_Toc124254979"/>
      <w:r w:rsidRPr="004B7B0B">
        <w:rPr>
          <w:color w:val="0070C0"/>
          <w:highlight w:val="yellow"/>
        </w:rPr>
        <w:t>Referral Protocols</w:t>
      </w:r>
      <w:bookmarkEnd w:id="24"/>
      <w:bookmarkEnd w:id="25"/>
    </w:p>
    <w:p w14:paraId="54CD9FDE" w14:textId="77777777" w:rsidR="00AF7381" w:rsidRPr="00AF7381" w:rsidRDefault="00AF7381" w:rsidP="00AF7381">
      <w:pPr>
        <w:spacing w:after="120"/>
        <w:jc w:val="both"/>
        <w:rPr>
          <w:highlight w:val="yellow"/>
        </w:rPr>
      </w:pPr>
      <w:r w:rsidRPr="00AF7381">
        <w:rPr>
          <w:highlight w:val="yellow"/>
        </w:rPr>
        <w:t>All programs funded either by the CSCoC or ESG Programs shall use this coordinated entry process as the only referral source from which to consider filling vacancies in projects.  Projects that participate in the coordinated entry process shall accept all eligible referrals unless the project utilizes the CSCoC documented protocol for rejecting referrals, ensuring that such rejections are justified and rare and that households are able to identify and access another suitable project.</w:t>
      </w:r>
    </w:p>
    <w:p w14:paraId="6F7ADF63" w14:textId="77777777" w:rsidR="00AF7381" w:rsidRPr="00AF7381" w:rsidRDefault="00AF7381" w:rsidP="00AF7381">
      <w:pPr>
        <w:spacing w:before="240"/>
        <w:rPr>
          <w:highlight w:val="yellow"/>
          <w:u w:val="single"/>
        </w:rPr>
      </w:pPr>
      <w:r w:rsidRPr="00AF7381">
        <w:rPr>
          <w:highlight w:val="yellow"/>
          <w:u w:val="single"/>
        </w:rPr>
        <w:t>Expectations</w:t>
      </w:r>
    </w:p>
    <w:p w14:paraId="57D8CDB4" w14:textId="77777777" w:rsidR="00AF7381" w:rsidRPr="00AF7381" w:rsidRDefault="00AF7381" w:rsidP="00AF7381">
      <w:pPr>
        <w:spacing w:after="120"/>
        <w:jc w:val="both"/>
        <w:rPr>
          <w:highlight w:val="yellow"/>
        </w:rPr>
      </w:pPr>
      <w:r w:rsidRPr="00AF7381">
        <w:rPr>
          <w:highlight w:val="yellow"/>
        </w:rPr>
        <w:t>The referral process ensures that program participants receive clear information about the project to which they have been referred, what the project will expect of them, and what they can expect from the project.  The coordinated entry management entity ensures that the referral agency is familiar with all the projects in the crisis response system; to that end, the management entity shall develop written material about each of the projects to ensure that consistent information is provided with each referral.</w:t>
      </w:r>
    </w:p>
    <w:p w14:paraId="33584C3B" w14:textId="77777777" w:rsidR="00AF7381" w:rsidRPr="00AF7381" w:rsidRDefault="00AF7381" w:rsidP="00AF7381">
      <w:pPr>
        <w:spacing w:before="240"/>
        <w:jc w:val="both"/>
        <w:rPr>
          <w:highlight w:val="yellow"/>
          <w:u w:val="single"/>
        </w:rPr>
      </w:pPr>
      <w:r w:rsidRPr="00AF7381">
        <w:rPr>
          <w:highlight w:val="yellow"/>
          <w:u w:val="single"/>
        </w:rPr>
        <w:t>Warm Handoff Referrals</w:t>
      </w:r>
    </w:p>
    <w:p w14:paraId="0A3BD303" w14:textId="77777777" w:rsidR="002E4855" w:rsidRDefault="00AF7381" w:rsidP="00AF7381">
      <w:pPr>
        <w:spacing w:after="120"/>
        <w:jc w:val="both"/>
        <w:rPr>
          <w:highlight w:val="yellow"/>
        </w:rPr>
      </w:pPr>
      <w:r w:rsidRPr="00AF7381">
        <w:rPr>
          <w:highlight w:val="yellow"/>
        </w:rPr>
        <w:t xml:space="preserve">The CSCoC utilizes a best practice of assisted referral, also known as a “warm handoff” referral.  The CSCoC approaches referral as more than just handing households off or providing them a list of places to go and projects to contact.  It is required that referrals be made directly between the referring agency and the receiving agency, with the former providing the latter with the information the receiving agency needs to act on the referral.  </w:t>
      </w:r>
    </w:p>
    <w:p w14:paraId="5D71451B" w14:textId="07BD74F0" w:rsidR="00AF7381" w:rsidRPr="00AF7381" w:rsidRDefault="00AF7381" w:rsidP="00AF7381">
      <w:pPr>
        <w:spacing w:after="120"/>
        <w:jc w:val="both"/>
        <w:rPr>
          <w:highlight w:val="yellow"/>
        </w:rPr>
      </w:pPr>
      <w:r w:rsidRPr="00AF7381">
        <w:rPr>
          <w:highlight w:val="yellow"/>
        </w:rPr>
        <w:t>Often, this “warm handoff” model of referral is accompanied by the service provider’s housing navigator function, which identifies a service provider member to support households experiencing a housing crisis throughout the process, including ensuring their applications are completed and submitted and barriers to enrollment are reduced.</w:t>
      </w:r>
    </w:p>
    <w:p w14:paraId="5D74F632" w14:textId="77777777" w:rsidR="00AF7381" w:rsidRPr="00AF7381" w:rsidRDefault="00AF7381" w:rsidP="00AF7381">
      <w:pPr>
        <w:spacing w:before="240"/>
        <w:jc w:val="both"/>
        <w:rPr>
          <w:highlight w:val="yellow"/>
          <w:u w:val="single"/>
        </w:rPr>
      </w:pPr>
      <w:r w:rsidRPr="00AF7381">
        <w:rPr>
          <w:highlight w:val="yellow"/>
          <w:u w:val="single"/>
        </w:rPr>
        <w:t>Provider Concerns</w:t>
      </w:r>
    </w:p>
    <w:p w14:paraId="035C51DE" w14:textId="77777777" w:rsidR="002E4855" w:rsidRDefault="00AF7381" w:rsidP="00AF7381">
      <w:pPr>
        <w:spacing w:after="120"/>
        <w:jc w:val="both"/>
        <w:rPr>
          <w:highlight w:val="yellow"/>
        </w:rPr>
      </w:pPr>
      <w:r w:rsidRPr="00AF7381">
        <w:rPr>
          <w:highlight w:val="yellow"/>
        </w:rPr>
        <w:t xml:space="preserve">Some housing and supportive services providers may express concern about relinquishing control of referral to and enrollment in their projects, as coordinated entry shifts a project-centric focus to a person-centric one.  Before coordinated entry, a service provider usually made decisions about which households to enroll in its projects based on its best judgement about who would succeed there.  To screen out households it did not expect to be successful, the service provider usually unnecessarily added eligibility criteria other than those required by the project’s funders.  </w:t>
      </w:r>
    </w:p>
    <w:p w14:paraId="6B15D0C0" w14:textId="525E3677" w:rsidR="00AF7381" w:rsidRPr="00AF7381" w:rsidRDefault="00AF7381" w:rsidP="00AF7381">
      <w:pPr>
        <w:spacing w:after="120"/>
        <w:jc w:val="both"/>
        <w:rPr>
          <w:highlight w:val="yellow"/>
        </w:rPr>
      </w:pPr>
      <w:r w:rsidRPr="00AF7381">
        <w:rPr>
          <w:highlight w:val="yellow"/>
        </w:rPr>
        <w:lastRenderedPageBreak/>
        <w:t>Coordinated entry, with the requirement that all vacancies be filled with referrals from its process, means that projects must enroll program participants who often are more challenging to serve than before.  The CSCoC shall support service providers in capacity-building to ensure that participating projects meet program participants’ needs and reinforces the benefits and requirements of coordinated entry.</w:t>
      </w:r>
    </w:p>
    <w:p w14:paraId="3EF647DE" w14:textId="77777777" w:rsidR="00AF7381" w:rsidRPr="00AF7381" w:rsidRDefault="00AF7381" w:rsidP="00AF7381">
      <w:pPr>
        <w:spacing w:before="240"/>
        <w:jc w:val="both"/>
        <w:rPr>
          <w:highlight w:val="yellow"/>
          <w:u w:val="single"/>
        </w:rPr>
      </w:pPr>
      <w:r w:rsidRPr="00AF7381">
        <w:rPr>
          <w:highlight w:val="yellow"/>
          <w:u w:val="single"/>
        </w:rPr>
        <w:t>Rejection Protocols</w:t>
      </w:r>
    </w:p>
    <w:p w14:paraId="092FDBB4" w14:textId="77777777" w:rsidR="00AF7381" w:rsidRPr="00AF7381" w:rsidRDefault="00AF7381" w:rsidP="00AF7381">
      <w:pPr>
        <w:jc w:val="both"/>
        <w:rPr>
          <w:highlight w:val="yellow"/>
        </w:rPr>
      </w:pPr>
      <w:r w:rsidRPr="00AF7381">
        <w:rPr>
          <w:highlight w:val="yellow"/>
        </w:rPr>
        <w:t xml:space="preserve">The referral process accounts for occasions when a referral is rejected by the potential participant or when the project service provider rejects a referral under the criteria established by the CSCoC. </w:t>
      </w:r>
    </w:p>
    <w:p w14:paraId="0C0C49E2" w14:textId="77777777" w:rsidR="00AF7381" w:rsidRPr="00AF7381" w:rsidRDefault="00AF7381" w:rsidP="00AF7381">
      <w:pPr>
        <w:jc w:val="both"/>
        <w:rPr>
          <w:highlight w:val="yellow"/>
        </w:rPr>
      </w:pPr>
      <w:r w:rsidRPr="00AF7381">
        <w:rPr>
          <w:highlight w:val="yellow"/>
        </w:rPr>
        <w:t xml:space="preserve"> </w:t>
      </w:r>
    </w:p>
    <w:p w14:paraId="4E7B0D23" w14:textId="77777777" w:rsidR="00AF7381" w:rsidRPr="00AF7381" w:rsidRDefault="00AF7381" w:rsidP="00AF7381">
      <w:pPr>
        <w:jc w:val="both"/>
        <w:rPr>
          <w:highlight w:val="yellow"/>
        </w:rPr>
      </w:pPr>
      <w:r w:rsidRPr="00AF7381">
        <w:rPr>
          <w:highlight w:val="yellow"/>
        </w:rPr>
        <w:t>Sometimes potential participants perceive the referral as representing a housing or services option that does not address their immediate housing goals and preferences.  In those instances, every effort is made to identify other referral options.  If none exists, the CSCoC documents such limitations of the currently available project options for system planning purposes.  Meanwhile, coordinated entry service providers continue to work with the household to find alternative accommodations.</w:t>
      </w:r>
    </w:p>
    <w:p w14:paraId="61B3CDBB" w14:textId="77777777" w:rsidR="00AF7381" w:rsidRPr="00AF7381" w:rsidRDefault="00AF7381" w:rsidP="00AF7381">
      <w:pPr>
        <w:jc w:val="both"/>
        <w:rPr>
          <w:highlight w:val="yellow"/>
        </w:rPr>
      </w:pPr>
    </w:p>
    <w:p w14:paraId="49E86CDA" w14:textId="77777777" w:rsidR="00AF7381" w:rsidRPr="00AF7381" w:rsidRDefault="00AF7381" w:rsidP="00AF7381">
      <w:pPr>
        <w:jc w:val="both"/>
        <w:rPr>
          <w:highlight w:val="yellow"/>
        </w:rPr>
      </w:pPr>
      <w:r w:rsidRPr="00AF7381">
        <w:rPr>
          <w:highlight w:val="yellow"/>
        </w:rPr>
        <w:t>Sometimes the project receiving the referral through the coordinated entry process is the source of the referral rejection.  For example, a project might be experiencing situational service provider constraints.  Programmatic changes or funding issues might necessitate a temporary hold on accepting referrals.  Or after considering the unique housing barriers and attributes of a referral, the project receiving the referral might decide the project does not have enough programmatic capacity or expertise to provide the housing and services necessary to resolve the household’s housing crisis.</w:t>
      </w:r>
    </w:p>
    <w:p w14:paraId="74A4D2F0" w14:textId="77777777" w:rsidR="00AF7381" w:rsidRPr="00AF7381" w:rsidRDefault="00AF7381" w:rsidP="00AF7381">
      <w:pPr>
        <w:jc w:val="both"/>
        <w:rPr>
          <w:highlight w:val="yellow"/>
        </w:rPr>
      </w:pPr>
    </w:p>
    <w:p w14:paraId="723D4908" w14:textId="77777777" w:rsidR="00AF7381" w:rsidRPr="00AF7381" w:rsidRDefault="00AF7381" w:rsidP="00AF7381">
      <w:pPr>
        <w:jc w:val="both"/>
        <w:rPr>
          <w:highlight w:val="yellow"/>
        </w:rPr>
      </w:pPr>
      <w:r w:rsidRPr="00AF7381">
        <w:rPr>
          <w:highlight w:val="yellow"/>
        </w:rPr>
        <w:t>Regardless of the specific circumstances of the project’s rejection, in all situations the project shall communicate the decision clearly and quickly to the entity making the referral.  This communication must include the reason for the rejection, any factors or a change in circumstances that could allow the project to reconsider and accept the referral, and other pertinent information that came to light during the referral review that might affect the potential participant’s referral standing at other projects.</w:t>
      </w:r>
    </w:p>
    <w:p w14:paraId="34279DE2" w14:textId="77777777" w:rsidR="00AF7381" w:rsidRPr="00AF7381" w:rsidRDefault="00AF7381" w:rsidP="00AF7381">
      <w:pPr>
        <w:jc w:val="both"/>
        <w:rPr>
          <w:highlight w:val="yellow"/>
        </w:rPr>
      </w:pPr>
    </w:p>
    <w:p w14:paraId="6EE0C92E" w14:textId="77777777" w:rsidR="00AF7381" w:rsidRPr="00AF7381" w:rsidRDefault="00AF7381" w:rsidP="00AF7381">
      <w:pPr>
        <w:spacing w:after="120"/>
        <w:jc w:val="both"/>
        <w:rPr>
          <w:highlight w:val="yellow"/>
        </w:rPr>
      </w:pPr>
      <w:r w:rsidRPr="00AF7381">
        <w:rPr>
          <w:highlight w:val="yellow"/>
        </w:rPr>
        <w:t xml:space="preserve">CSCoC utilizes a case conferencing approach to referral rejections. With case conferencing, the entity making the referral, the project rejecting the referral, and potentially the household, meet to share information and collectively consider alternative referral options.  The goal of the referral process is to </w:t>
      </w:r>
      <w:proofErr w:type="gramStart"/>
      <w:r w:rsidRPr="00AF7381">
        <w:rPr>
          <w:highlight w:val="yellow"/>
        </w:rPr>
        <w:t>quickly and successfully connect households experiencing a housing crisis</w:t>
      </w:r>
      <w:proofErr w:type="gramEnd"/>
      <w:r w:rsidRPr="00AF7381">
        <w:rPr>
          <w:highlight w:val="yellow"/>
        </w:rPr>
        <w:t xml:space="preserve"> to available projects - a case conferencing meeting among all parties concerned is often the most effective way to achieve this goal when the standard referral process breaks down.</w:t>
      </w:r>
    </w:p>
    <w:p w14:paraId="4092E0FF" w14:textId="77777777" w:rsidR="00AF7381" w:rsidRPr="00AF7381" w:rsidRDefault="00AF7381" w:rsidP="00AF7381">
      <w:pPr>
        <w:spacing w:before="240"/>
        <w:rPr>
          <w:highlight w:val="yellow"/>
          <w:u w:val="single"/>
        </w:rPr>
      </w:pPr>
      <w:r w:rsidRPr="00AF7381">
        <w:rPr>
          <w:highlight w:val="yellow"/>
          <w:u w:val="single"/>
        </w:rPr>
        <w:t>Referral Data Management and Efficiency Tracking</w:t>
      </w:r>
    </w:p>
    <w:p w14:paraId="5DCE7711" w14:textId="77777777" w:rsidR="00AF7381" w:rsidRPr="00AF7381" w:rsidRDefault="00AF7381" w:rsidP="00AF7381">
      <w:pPr>
        <w:jc w:val="both"/>
        <w:rPr>
          <w:highlight w:val="yellow"/>
        </w:rPr>
      </w:pPr>
      <w:r w:rsidRPr="00AF7381">
        <w:rPr>
          <w:highlight w:val="yellow"/>
        </w:rPr>
        <w:t>The amount and type of household data accompanying a referral from one service provider to another depends on specific data-sharing agreements between the referring agency and the receiving project.  In general, referral of a household experiencing a crisis for housing and services requires the following:</w:t>
      </w:r>
    </w:p>
    <w:p w14:paraId="54BABE9C" w14:textId="77777777" w:rsidR="00AF7381" w:rsidRPr="00AF7381" w:rsidRDefault="00AF7381">
      <w:pPr>
        <w:pStyle w:val="ListParagraph"/>
        <w:numPr>
          <w:ilvl w:val="0"/>
          <w:numId w:val="147"/>
        </w:numPr>
        <w:spacing w:after="120"/>
        <w:contextualSpacing w:val="0"/>
        <w:rPr>
          <w:highlight w:val="yellow"/>
        </w:rPr>
      </w:pPr>
      <w:r w:rsidRPr="00AF7381">
        <w:rPr>
          <w:highlight w:val="yellow"/>
        </w:rPr>
        <w:t>Referral date and time.</w:t>
      </w:r>
    </w:p>
    <w:p w14:paraId="1B2F550B" w14:textId="77777777" w:rsidR="00AF7381" w:rsidRPr="00AF7381" w:rsidRDefault="00AF7381">
      <w:pPr>
        <w:pStyle w:val="ListParagraph"/>
        <w:numPr>
          <w:ilvl w:val="0"/>
          <w:numId w:val="147"/>
        </w:numPr>
        <w:spacing w:after="120"/>
        <w:contextualSpacing w:val="0"/>
        <w:rPr>
          <w:highlight w:val="yellow"/>
        </w:rPr>
      </w:pPr>
      <w:r w:rsidRPr="00AF7381">
        <w:rPr>
          <w:highlight w:val="yellow"/>
        </w:rPr>
        <w:lastRenderedPageBreak/>
        <w:t>Identity of the agency currently serving the household, including contact information.</w:t>
      </w:r>
    </w:p>
    <w:p w14:paraId="01DE4FD5" w14:textId="77777777" w:rsidR="00AF7381" w:rsidRPr="00AF7381" w:rsidRDefault="00AF7381">
      <w:pPr>
        <w:pStyle w:val="ListParagraph"/>
        <w:numPr>
          <w:ilvl w:val="0"/>
          <w:numId w:val="147"/>
        </w:numPr>
        <w:spacing w:after="120"/>
        <w:contextualSpacing w:val="0"/>
        <w:rPr>
          <w:highlight w:val="yellow"/>
        </w:rPr>
      </w:pPr>
      <w:r w:rsidRPr="00AF7381">
        <w:rPr>
          <w:highlight w:val="yellow"/>
        </w:rPr>
        <w:t>Identity of the receiving project, including follow-up contact information.</w:t>
      </w:r>
    </w:p>
    <w:p w14:paraId="48A940C5" w14:textId="77777777" w:rsidR="00AF7381" w:rsidRPr="00AF7381" w:rsidRDefault="00AF7381">
      <w:pPr>
        <w:pStyle w:val="ListParagraph"/>
        <w:numPr>
          <w:ilvl w:val="0"/>
          <w:numId w:val="147"/>
        </w:numPr>
        <w:spacing w:after="120"/>
        <w:contextualSpacing w:val="0"/>
        <w:rPr>
          <w:highlight w:val="yellow"/>
        </w:rPr>
      </w:pPr>
      <w:r w:rsidRPr="00AF7381">
        <w:rPr>
          <w:highlight w:val="yellow"/>
        </w:rPr>
        <w:t>Names of household member(s).</w:t>
      </w:r>
    </w:p>
    <w:p w14:paraId="2026ADB9" w14:textId="77777777" w:rsidR="00AF7381" w:rsidRPr="00AF7381" w:rsidRDefault="00AF7381">
      <w:pPr>
        <w:pStyle w:val="ListParagraph"/>
        <w:numPr>
          <w:ilvl w:val="0"/>
          <w:numId w:val="147"/>
        </w:numPr>
        <w:spacing w:after="120"/>
        <w:contextualSpacing w:val="0"/>
        <w:rPr>
          <w:highlight w:val="yellow"/>
        </w:rPr>
      </w:pPr>
      <w:r w:rsidRPr="00AF7381">
        <w:rPr>
          <w:highlight w:val="yellow"/>
        </w:rPr>
        <w:t>List of projects for which the household is being referred.</w:t>
      </w:r>
    </w:p>
    <w:p w14:paraId="06E348C2" w14:textId="77777777" w:rsidR="00AF7381" w:rsidRPr="00AF7381" w:rsidRDefault="00AF7381">
      <w:pPr>
        <w:pStyle w:val="ListParagraph"/>
        <w:numPr>
          <w:ilvl w:val="0"/>
          <w:numId w:val="147"/>
        </w:numPr>
        <w:spacing w:after="120"/>
        <w:contextualSpacing w:val="0"/>
        <w:rPr>
          <w:highlight w:val="yellow"/>
        </w:rPr>
      </w:pPr>
      <w:r w:rsidRPr="00AF7381">
        <w:rPr>
          <w:highlight w:val="yellow"/>
        </w:rPr>
        <w:t>Household’s prioritization score, if applicable.</w:t>
      </w:r>
    </w:p>
    <w:p w14:paraId="586AF6F1" w14:textId="77777777" w:rsidR="00AF7381" w:rsidRPr="00AF7381" w:rsidRDefault="00AF7381">
      <w:pPr>
        <w:pStyle w:val="ListParagraph"/>
        <w:numPr>
          <w:ilvl w:val="0"/>
          <w:numId w:val="147"/>
        </w:numPr>
        <w:spacing w:after="120"/>
        <w:contextualSpacing w:val="0"/>
        <w:rPr>
          <w:highlight w:val="yellow"/>
        </w:rPr>
      </w:pPr>
      <w:r w:rsidRPr="00AF7381">
        <w:rPr>
          <w:highlight w:val="yellow"/>
        </w:rPr>
        <w:t>Project eligibility or entry requirements.</w:t>
      </w:r>
    </w:p>
    <w:p w14:paraId="1A906BCC" w14:textId="77777777" w:rsidR="00AF7381" w:rsidRPr="00AF7381" w:rsidRDefault="00AF7381">
      <w:pPr>
        <w:pStyle w:val="ListParagraph"/>
        <w:numPr>
          <w:ilvl w:val="0"/>
          <w:numId w:val="147"/>
        </w:numPr>
        <w:spacing w:after="120"/>
        <w:contextualSpacing w:val="0"/>
        <w:rPr>
          <w:highlight w:val="yellow"/>
        </w:rPr>
      </w:pPr>
      <w:r w:rsidRPr="00AF7381">
        <w:rPr>
          <w:highlight w:val="yellow"/>
        </w:rPr>
        <w:t>Household’s preferences.</w:t>
      </w:r>
    </w:p>
    <w:p w14:paraId="31842855" w14:textId="77777777" w:rsidR="00AF7381" w:rsidRPr="00AF7381" w:rsidRDefault="00AF7381">
      <w:pPr>
        <w:pStyle w:val="ListParagraph"/>
        <w:numPr>
          <w:ilvl w:val="0"/>
          <w:numId w:val="147"/>
        </w:numPr>
        <w:spacing w:after="120"/>
        <w:contextualSpacing w:val="0"/>
        <w:rPr>
          <w:highlight w:val="yellow"/>
        </w:rPr>
      </w:pPr>
      <w:r w:rsidRPr="00AF7381">
        <w:rPr>
          <w:highlight w:val="yellow"/>
        </w:rPr>
        <w:t>Special considerations, including housing-related information such as desired location, unit size needed, and restrictions on housing.</w:t>
      </w:r>
    </w:p>
    <w:p w14:paraId="360C19B3" w14:textId="77777777" w:rsidR="00AF7381" w:rsidRPr="00AF7381" w:rsidRDefault="00AF7381">
      <w:pPr>
        <w:pStyle w:val="ListParagraph"/>
        <w:numPr>
          <w:ilvl w:val="0"/>
          <w:numId w:val="147"/>
        </w:numPr>
        <w:spacing w:after="120"/>
        <w:contextualSpacing w:val="0"/>
        <w:rPr>
          <w:highlight w:val="yellow"/>
        </w:rPr>
      </w:pPr>
      <w:r w:rsidRPr="00AF7381">
        <w:rPr>
          <w:highlight w:val="yellow"/>
        </w:rPr>
        <w:t>Verification documentation, as appropriate and if applicable.</w:t>
      </w:r>
    </w:p>
    <w:p w14:paraId="0942B32F" w14:textId="77777777" w:rsidR="00AF7381" w:rsidRPr="00AF7381" w:rsidRDefault="00AF7381">
      <w:pPr>
        <w:pStyle w:val="ListParagraph"/>
        <w:numPr>
          <w:ilvl w:val="0"/>
          <w:numId w:val="147"/>
        </w:numPr>
        <w:contextualSpacing w:val="0"/>
        <w:rPr>
          <w:highlight w:val="yellow"/>
        </w:rPr>
      </w:pPr>
      <w:r w:rsidRPr="00AF7381">
        <w:rPr>
          <w:highlight w:val="yellow"/>
        </w:rPr>
        <w:t>Expectations for follow up.</w:t>
      </w:r>
    </w:p>
    <w:p w14:paraId="5EE0CCAB" w14:textId="77777777" w:rsidR="00AF7381" w:rsidRPr="00AF7381" w:rsidRDefault="00AF7381" w:rsidP="00AF7381">
      <w:pPr>
        <w:pStyle w:val="ListParagraph"/>
        <w:contextualSpacing w:val="0"/>
        <w:rPr>
          <w:highlight w:val="yellow"/>
        </w:rPr>
      </w:pPr>
    </w:p>
    <w:p w14:paraId="7118979B" w14:textId="77777777" w:rsidR="00AF7381" w:rsidRPr="00AF7381" w:rsidRDefault="00AF7381" w:rsidP="00AF7381">
      <w:pPr>
        <w:jc w:val="both"/>
        <w:rPr>
          <w:highlight w:val="yellow"/>
        </w:rPr>
      </w:pPr>
      <w:r w:rsidRPr="00AF7381">
        <w:rPr>
          <w:highlight w:val="yellow"/>
        </w:rPr>
        <w:t>Often the referral is transmitted electronically, with information provided both to the referring agency and to the receiving project that has the vacancy.  HMIS provides resources that enable management of electronic referrals.</w:t>
      </w:r>
    </w:p>
    <w:p w14:paraId="577D0D31" w14:textId="77777777" w:rsidR="00AF7381" w:rsidRPr="00AF7381" w:rsidRDefault="00AF7381" w:rsidP="00AF7381">
      <w:pPr>
        <w:jc w:val="both"/>
        <w:rPr>
          <w:highlight w:val="yellow"/>
        </w:rPr>
      </w:pPr>
    </w:p>
    <w:p w14:paraId="7370029D" w14:textId="77777777" w:rsidR="00AF7381" w:rsidRPr="00AF7381" w:rsidRDefault="00AF7381" w:rsidP="00AF7381">
      <w:pPr>
        <w:jc w:val="both"/>
        <w:rPr>
          <w:highlight w:val="yellow"/>
        </w:rPr>
      </w:pPr>
      <w:r w:rsidRPr="00AF7381">
        <w:rPr>
          <w:highlight w:val="yellow"/>
        </w:rPr>
        <w:t>The CSCoC Coordinated Entry Committee shall develop timeliness targets for each of the referral, project enrollment, and move-in stages.  A strong referral process is necessary to keep these stages as short as possible to facilitate rapidly rehousing households who are homeless, including diversion where possible.</w:t>
      </w:r>
    </w:p>
    <w:p w14:paraId="2B213DDE" w14:textId="77777777" w:rsidR="00AF7381" w:rsidRPr="00AF7381" w:rsidRDefault="00AF7381" w:rsidP="00AF7381">
      <w:pPr>
        <w:spacing w:after="120"/>
        <w:jc w:val="both"/>
        <w:rPr>
          <w:highlight w:val="yellow"/>
          <w:u w:val="single"/>
        </w:rPr>
      </w:pPr>
    </w:p>
    <w:p w14:paraId="354F38CD" w14:textId="77777777" w:rsidR="00AF7381" w:rsidRPr="00AF7381" w:rsidRDefault="00AF7381" w:rsidP="00AF7381">
      <w:pPr>
        <w:jc w:val="both"/>
        <w:rPr>
          <w:highlight w:val="yellow"/>
          <w:u w:val="single"/>
        </w:rPr>
      </w:pPr>
      <w:r w:rsidRPr="00AF7381">
        <w:rPr>
          <w:highlight w:val="yellow"/>
          <w:u w:val="single"/>
        </w:rPr>
        <w:t>Referral to Projects</w:t>
      </w:r>
    </w:p>
    <w:p w14:paraId="3B42F16E" w14:textId="77777777" w:rsidR="00AF7381" w:rsidRPr="00AF7381" w:rsidRDefault="00AF7381" w:rsidP="00AF7381">
      <w:pPr>
        <w:jc w:val="both"/>
        <w:rPr>
          <w:highlight w:val="yellow"/>
        </w:rPr>
      </w:pPr>
      <w:r w:rsidRPr="00AF7381">
        <w:rPr>
          <w:highlight w:val="yellow"/>
        </w:rPr>
        <w:t>The CSCoC implements a referral process that applies to all beds and services available at participating projects funded by the CSCoC or ESG Program.  The process also applies to housing and supportive services projects operated by entities not funded by HUD, and those that do not actively participate in coordinated entry but receive and accept CSCoC referrals.</w:t>
      </w:r>
    </w:p>
    <w:p w14:paraId="1234E474" w14:textId="77777777" w:rsidR="00AF7381" w:rsidRPr="00AF7381" w:rsidRDefault="00AF7381" w:rsidP="00AF7381">
      <w:pPr>
        <w:jc w:val="both"/>
        <w:rPr>
          <w:highlight w:val="yellow"/>
        </w:rPr>
      </w:pPr>
    </w:p>
    <w:p w14:paraId="122CE14D" w14:textId="77777777" w:rsidR="00AF7381" w:rsidRPr="00AF7381" w:rsidRDefault="00AF7381" w:rsidP="00AF7381">
      <w:pPr>
        <w:jc w:val="both"/>
        <w:rPr>
          <w:highlight w:val="yellow"/>
        </w:rPr>
      </w:pPr>
      <w:r w:rsidRPr="00AF7381">
        <w:rPr>
          <w:highlight w:val="yellow"/>
        </w:rPr>
        <w:t>The CES makes referrals to all projects receiving ESG and CoC funds, including emergency shelter, RRH, PSH, and transitional housing, as well as other housing and homelessness projects.  Projects that are dedicated to serving households experiencing homelessness must fill all vacancies through referrals, while other housing and services projects may determine the extent to which they rely on referrals from the coordinated entry process.</w:t>
      </w:r>
    </w:p>
    <w:p w14:paraId="5ECC126D" w14:textId="77777777" w:rsidR="00AF7381" w:rsidRPr="00AF7381" w:rsidRDefault="00AF7381" w:rsidP="00AF7381">
      <w:pPr>
        <w:jc w:val="both"/>
        <w:rPr>
          <w:highlight w:val="yellow"/>
        </w:rPr>
      </w:pPr>
    </w:p>
    <w:p w14:paraId="55EBB610" w14:textId="77777777" w:rsidR="00AF7381" w:rsidRPr="00AF7381" w:rsidRDefault="00AF7381" w:rsidP="00AF7381">
      <w:pPr>
        <w:jc w:val="both"/>
        <w:rPr>
          <w:highlight w:val="yellow"/>
        </w:rPr>
      </w:pPr>
      <w:r w:rsidRPr="00AF7381">
        <w:rPr>
          <w:highlight w:val="yellow"/>
        </w:rPr>
        <w:t>CSCoC maintains an inventory list, updated at least annually, of all housing and supportive services projects that can be accessed through referrals from the coordinated entry process.</w:t>
      </w:r>
    </w:p>
    <w:p w14:paraId="4EB4752E" w14:textId="77777777" w:rsidR="00AF7381" w:rsidRPr="00AF7381" w:rsidRDefault="00AF7381" w:rsidP="00AF7381">
      <w:pPr>
        <w:jc w:val="both"/>
        <w:rPr>
          <w:highlight w:val="yellow"/>
        </w:rPr>
      </w:pPr>
    </w:p>
    <w:p w14:paraId="7C0038BA" w14:textId="77777777" w:rsidR="00AF7381" w:rsidRPr="00AF7381" w:rsidRDefault="00AF7381" w:rsidP="00AF7381">
      <w:pPr>
        <w:spacing w:after="120"/>
        <w:jc w:val="both"/>
        <w:rPr>
          <w:highlight w:val="yellow"/>
        </w:rPr>
      </w:pPr>
      <w:r w:rsidRPr="00AF7381">
        <w:rPr>
          <w:highlight w:val="yellow"/>
        </w:rPr>
        <w:t xml:space="preserve">After being referred to a housing service provider project, households shall be assigned a Housing Resources Coordinator.  The Housing Resources Coordinator may be the original referring Case Manager, a referring Outreach Worker, or a dedicated service provider member with the title of Housing Resources Coordinator.  The Housing Resources Coordinator begins the process of housing search and placement.  </w:t>
      </w:r>
    </w:p>
    <w:p w14:paraId="2F8D41AA" w14:textId="77777777" w:rsidR="00AF7381" w:rsidRPr="00AF7381" w:rsidRDefault="00AF7381" w:rsidP="00AF7381">
      <w:pPr>
        <w:spacing w:before="240"/>
        <w:rPr>
          <w:highlight w:val="yellow"/>
          <w:u w:val="single"/>
        </w:rPr>
      </w:pPr>
      <w:r w:rsidRPr="00AF7381">
        <w:rPr>
          <w:highlight w:val="yellow"/>
          <w:u w:val="single"/>
        </w:rPr>
        <w:t>Roles and Responsibilities</w:t>
      </w:r>
    </w:p>
    <w:p w14:paraId="591CE79B" w14:textId="77777777" w:rsidR="00AF7381" w:rsidRPr="00AF7381" w:rsidRDefault="00AF7381">
      <w:pPr>
        <w:pStyle w:val="ListParagraph"/>
        <w:numPr>
          <w:ilvl w:val="0"/>
          <w:numId w:val="150"/>
        </w:numPr>
        <w:spacing w:after="120"/>
        <w:contextualSpacing w:val="0"/>
        <w:jc w:val="both"/>
        <w:rPr>
          <w:highlight w:val="yellow"/>
        </w:rPr>
      </w:pPr>
      <w:r w:rsidRPr="00AF7381">
        <w:rPr>
          <w:highlight w:val="yellow"/>
          <w:u w:val="single"/>
        </w:rPr>
        <w:t>Referring agency</w:t>
      </w:r>
      <w:r w:rsidRPr="00AF7381">
        <w:rPr>
          <w:highlight w:val="yellow"/>
        </w:rPr>
        <w:t xml:space="preserve"> – this is the entity responsible for referring a household experiencing a housing crisis to available housing and supportive services, based on the household’s priority level or score and the CSCoC prioritization and assistance standards.  </w:t>
      </w:r>
    </w:p>
    <w:p w14:paraId="44EDFEC6" w14:textId="77777777" w:rsidR="00AF7381" w:rsidRPr="00AF7381" w:rsidRDefault="00AF7381">
      <w:pPr>
        <w:pStyle w:val="ListParagraph"/>
        <w:numPr>
          <w:ilvl w:val="0"/>
          <w:numId w:val="150"/>
        </w:numPr>
        <w:spacing w:after="120"/>
        <w:contextualSpacing w:val="0"/>
        <w:jc w:val="both"/>
        <w:rPr>
          <w:highlight w:val="yellow"/>
        </w:rPr>
      </w:pPr>
      <w:r w:rsidRPr="00AF7381">
        <w:rPr>
          <w:highlight w:val="yellow"/>
          <w:u w:val="single"/>
        </w:rPr>
        <w:t>Receiving agency</w:t>
      </w:r>
      <w:r w:rsidRPr="00AF7381">
        <w:rPr>
          <w:highlight w:val="yellow"/>
        </w:rPr>
        <w:t xml:space="preserve"> – all housing and supportive services providers participating in coordinated entry must fill vacancies with households referred through the coordinated entry referral process. </w:t>
      </w:r>
    </w:p>
    <w:p w14:paraId="7953C71F" w14:textId="77777777" w:rsidR="00AF7381" w:rsidRPr="00AF7381" w:rsidRDefault="00AF7381">
      <w:pPr>
        <w:pStyle w:val="ListParagraph"/>
        <w:numPr>
          <w:ilvl w:val="0"/>
          <w:numId w:val="150"/>
        </w:numPr>
        <w:spacing w:after="120"/>
        <w:contextualSpacing w:val="0"/>
        <w:jc w:val="both"/>
        <w:rPr>
          <w:highlight w:val="yellow"/>
        </w:rPr>
      </w:pPr>
      <w:r w:rsidRPr="00AF7381">
        <w:rPr>
          <w:highlight w:val="yellow"/>
          <w:u w:val="single"/>
        </w:rPr>
        <w:t>Housing Navigator</w:t>
      </w:r>
      <w:r w:rsidRPr="00AF7381">
        <w:rPr>
          <w:highlight w:val="yellow"/>
        </w:rPr>
        <w:t xml:space="preserve"> – CSCoC has implemented a Housing Navigator function to ensure efficient and effective enrollment and subsequent movement of program participants from crisis response to stable housing.  Specific service provider duties might vary, but a Housing Navigator performs a variety of functions to reduce the time it takes households in crisis to obtain housing.  Housing Navigator duties include, but are not limited to:</w:t>
      </w:r>
    </w:p>
    <w:p w14:paraId="1E0ADE42" w14:textId="77777777" w:rsidR="00AF7381" w:rsidRPr="00AF7381" w:rsidRDefault="00AF7381">
      <w:pPr>
        <w:pStyle w:val="ListParagraph"/>
        <w:numPr>
          <w:ilvl w:val="1"/>
          <w:numId w:val="150"/>
        </w:numPr>
        <w:spacing w:after="120"/>
        <w:contextualSpacing w:val="0"/>
        <w:jc w:val="both"/>
        <w:rPr>
          <w:highlight w:val="yellow"/>
        </w:rPr>
      </w:pPr>
      <w:r w:rsidRPr="00AF7381">
        <w:rPr>
          <w:highlight w:val="yellow"/>
        </w:rPr>
        <w:t>Working closely with referring agencies to determine a household’s likely eligibility.</w:t>
      </w:r>
    </w:p>
    <w:p w14:paraId="21FD5655" w14:textId="77777777" w:rsidR="00AF7381" w:rsidRPr="00AF7381" w:rsidRDefault="00AF7381">
      <w:pPr>
        <w:pStyle w:val="ListParagraph"/>
        <w:numPr>
          <w:ilvl w:val="1"/>
          <w:numId w:val="150"/>
        </w:numPr>
        <w:spacing w:after="120"/>
        <w:contextualSpacing w:val="0"/>
        <w:jc w:val="both"/>
        <w:rPr>
          <w:highlight w:val="yellow"/>
        </w:rPr>
      </w:pPr>
      <w:r w:rsidRPr="00AF7381">
        <w:rPr>
          <w:highlight w:val="yellow"/>
        </w:rPr>
        <w:t>Developing a housing stability plan.</w:t>
      </w:r>
    </w:p>
    <w:p w14:paraId="0EE5B1E1" w14:textId="77777777" w:rsidR="00AF7381" w:rsidRPr="00AF7381" w:rsidRDefault="00AF7381">
      <w:pPr>
        <w:pStyle w:val="ListParagraph"/>
        <w:numPr>
          <w:ilvl w:val="1"/>
          <w:numId w:val="150"/>
        </w:numPr>
        <w:spacing w:after="120"/>
        <w:contextualSpacing w:val="0"/>
        <w:jc w:val="both"/>
        <w:rPr>
          <w:highlight w:val="yellow"/>
        </w:rPr>
      </w:pPr>
      <w:r w:rsidRPr="00AF7381">
        <w:rPr>
          <w:highlight w:val="yellow"/>
        </w:rPr>
        <w:t>Assisting the program participant with completing housing applications.</w:t>
      </w:r>
    </w:p>
    <w:p w14:paraId="1CE5C4A8" w14:textId="77777777" w:rsidR="00AF7381" w:rsidRPr="00AF7381" w:rsidRDefault="00AF7381">
      <w:pPr>
        <w:pStyle w:val="ListParagraph"/>
        <w:numPr>
          <w:ilvl w:val="1"/>
          <w:numId w:val="150"/>
        </w:numPr>
        <w:spacing w:after="120"/>
        <w:contextualSpacing w:val="0"/>
        <w:jc w:val="both"/>
        <w:rPr>
          <w:highlight w:val="yellow"/>
        </w:rPr>
      </w:pPr>
      <w:r w:rsidRPr="00AF7381">
        <w:rPr>
          <w:highlight w:val="yellow"/>
        </w:rPr>
        <w:t>Performing housing searches and enrollment.</w:t>
      </w:r>
    </w:p>
    <w:p w14:paraId="35B6122F" w14:textId="77777777" w:rsidR="00AF7381" w:rsidRPr="00AF7381" w:rsidRDefault="00AF7381">
      <w:pPr>
        <w:pStyle w:val="ListParagraph"/>
        <w:numPr>
          <w:ilvl w:val="1"/>
          <w:numId w:val="150"/>
        </w:numPr>
        <w:spacing w:after="120"/>
        <w:contextualSpacing w:val="0"/>
        <w:jc w:val="both"/>
        <w:rPr>
          <w:highlight w:val="yellow"/>
        </w:rPr>
      </w:pPr>
      <w:r w:rsidRPr="00AF7381">
        <w:rPr>
          <w:highlight w:val="yellow"/>
        </w:rPr>
        <w:t>Performing outreach to and negotiate with landlords.</w:t>
      </w:r>
    </w:p>
    <w:p w14:paraId="24E474E9" w14:textId="77777777" w:rsidR="00AF7381" w:rsidRPr="00AF7381" w:rsidRDefault="00AF7381">
      <w:pPr>
        <w:pStyle w:val="ListParagraph"/>
        <w:numPr>
          <w:ilvl w:val="1"/>
          <w:numId w:val="150"/>
        </w:numPr>
        <w:spacing w:after="120"/>
        <w:contextualSpacing w:val="0"/>
        <w:jc w:val="both"/>
        <w:rPr>
          <w:highlight w:val="yellow"/>
        </w:rPr>
      </w:pPr>
      <w:r w:rsidRPr="00AF7381">
        <w:rPr>
          <w:highlight w:val="yellow"/>
        </w:rPr>
        <w:t>Assisting the program participant with submitting rental applications and understanding leases.</w:t>
      </w:r>
    </w:p>
    <w:p w14:paraId="6B65CE55" w14:textId="77777777" w:rsidR="00AF7381" w:rsidRPr="00AF7381" w:rsidRDefault="00AF7381">
      <w:pPr>
        <w:pStyle w:val="ListParagraph"/>
        <w:numPr>
          <w:ilvl w:val="1"/>
          <w:numId w:val="150"/>
        </w:numPr>
        <w:spacing w:after="120"/>
        <w:contextualSpacing w:val="0"/>
        <w:jc w:val="both"/>
        <w:rPr>
          <w:highlight w:val="yellow"/>
        </w:rPr>
      </w:pPr>
      <w:r w:rsidRPr="00AF7381">
        <w:rPr>
          <w:highlight w:val="yellow"/>
        </w:rPr>
        <w:t>Addressing barriers to project entry.</w:t>
      </w:r>
    </w:p>
    <w:p w14:paraId="3BA97BDB" w14:textId="77777777" w:rsidR="00AF7381" w:rsidRPr="00AF7381" w:rsidRDefault="00AF7381">
      <w:pPr>
        <w:pStyle w:val="ListParagraph"/>
        <w:numPr>
          <w:ilvl w:val="1"/>
          <w:numId w:val="150"/>
        </w:numPr>
        <w:spacing w:after="120"/>
        <w:contextualSpacing w:val="0"/>
        <w:jc w:val="both"/>
        <w:rPr>
          <w:highlight w:val="yellow"/>
        </w:rPr>
      </w:pPr>
      <w:r w:rsidRPr="00AF7381">
        <w:rPr>
          <w:highlight w:val="yellow"/>
        </w:rPr>
        <w:t>Collecting documentation for housing eligibility determinations.</w:t>
      </w:r>
    </w:p>
    <w:p w14:paraId="70014677" w14:textId="77777777" w:rsidR="00AF7381" w:rsidRPr="00AF7381" w:rsidRDefault="00AF7381">
      <w:pPr>
        <w:pStyle w:val="ListParagraph"/>
        <w:numPr>
          <w:ilvl w:val="1"/>
          <w:numId w:val="150"/>
        </w:numPr>
        <w:spacing w:after="120"/>
        <w:contextualSpacing w:val="0"/>
        <w:jc w:val="both"/>
        <w:rPr>
          <w:highlight w:val="yellow"/>
        </w:rPr>
      </w:pPr>
      <w:r w:rsidRPr="00AF7381">
        <w:rPr>
          <w:highlight w:val="yellow"/>
        </w:rPr>
        <w:t>Assisting the program participant with obtaining utilities and making moving arrangements.</w:t>
      </w:r>
    </w:p>
    <w:p w14:paraId="7BF92F20" w14:textId="77777777" w:rsidR="00AF7381" w:rsidRPr="00AF7381" w:rsidRDefault="00AF7381">
      <w:pPr>
        <w:pStyle w:val="ListParagraph"/>
        <w:numPr>
          <w:ilvl w:val="1"/>
          <w:numId w:val="150"/>
        </w:numPr>
        <w:spacing w:after="120"/>
        <w:contextualSpacing w:val="0"/>
        <w:jc w:val="both"/>
        <w:rPr>
          <w:highlight w:val="yellow"/>
        </w:rPr>
      </w:pPr>
      <w:r w:rsidRPr="00AF7381">
        <w:rPr>
          <w:highlight w:val="yellow"/>
        </w:rPr>
        <w:t>Coordinating resources such as federal, state, and local benefits.</w:t>
      </w:r>
    </w:p>
    <w:p w14:paraId="2191CE0C" w14:textId="77777777" w:rsidR="00AF7381" w:rsidRPr="00AF7381" w:rsidRDefault="00AF7381">
      <w:pPr>
        <w:pStyle w:val="ListParagraph"/>
        <w:numPr>
          <w:ilvl w:val="1"/>
          <w:numId w:val="150"/>
        </w:numPr>
        <w:spacing w:after="120"/>
        <w:contextualSpacing w:val="0"/>
        <w:jc w:val="both"/>
        <w:rPr>
          <w:highlight w:val="yellow"/>
        </w:rPr>
      </w:pPr>
      <w:r w:rsidRPr="00AF7381">
        <w:rPr>
          <w:highlight w:val="yellow"/>
        </w:rPr>
        <w:t>Assisting with mediation between the program participant and owner/landlord.</w:t>
      </w:r>
    </w:p>
    <w:p w14:paraId="719A59BB" w14:textId="77777777" w:rsidR="00AF7381" w:rsidRPr="00AF7381" w:rsidRDefault="00AF7381">
      <w:pPr>
        <w:pStyle w:val="ListParagraph"/>
        <w:numPr>
          <w:ilvl w:val="1"/>
          <w:numId w:val="150"/>
        </w:numPr>
        <w:spacing w:after="120"/>
        <w:contextualSpacing w:val="0"/>
        <w:jc w:val="both"/>
        <w:rPr>
          <w:highlight w:val="yellow"/>
        </w:rPr>
      </w:pPr>
      <w:r w:rsidRPr="00AF7381">
        <w:rPr>
          <w:highlight w:val="yellow"/>
        </w:rPr>
        <w:t>Assisting the program participant with credit/budget counseling.</w:t>
      </w:r>
    </w:p>
    <w:p w14:paraId="49713DB0" w14:textId="77777777" w:rsidR="00AF7381" w:rsidRPr="00AF7381" w:rsidRDefault="00AF7381">
      <w:pPr>
        <w:pStyle w:val="ListParagraph"/>
        <w:numPr>
          <w:ilvl w:val="1"/>
          <w:numId w:val="150"/>
        </w:numPr>
        <w:contextualSpacing w:val="0"/>
        <w:jc w:val="both"/>
        <w:rPr>
          <w:highlight w:val="yellow"/>
        </w:rPr>
      </w:pPr>
      <w:r w:rsidRPr="00AF7381">
        <w:rPr>
          <w:highlight w:val="yellow"/>
        </w:rPr>
        <w:t>Providing renter education.</w:t>
      </w:r>
    </w:p>
    <w:p w14:paraId="1858725D" w14:textId="77777777" w:rsidR="00AF7381" w:rsidRPr="00AF7381" w:rsidRDefault="00AF7381" w:rsidP="00AF7381">
      <w:pPr>
        <w:pStyle w:val="ListParagraph"/>
        <w:ind w:left="1440"/>
        <w:contextualSpacing w:val="0"/>
        <w:jc w:val="both"/>
        <w:rPr>
          <w:highlight w:val="yellow"/>
        </w:rPr>
      </w:pPr>
    </w:p>
    <w:p w14:paraId="14282311" w14:textId="77777777" w:rsidR="00AF7381" w:rsidRPr="004B7B0B" w:rsidRDefault="00AF7381" w:rsidP="00AF7381">
      <w:pPr>
        <w:pStyle w:val="Heading2"/>
        <w:rPr>
          <w:color w:val="0070C0"/>
          <w:highlight w:val="yellow"/>
        </w:rPr>
      </w:pPr>
      <w:bookmarkStart w:id="26" w:name="_Toc34043179"/>
      <w:bookmarkStart w:id="27" w:name="_Toc124254980"/>
      <w:r w:rsidRPr="004B7B0B">
        <w:rPr>
          <w:color w:val="0070C0"/>
          <w:highlight w:val="yellow"/>
        </w:rPr>
        <w:lastRenderedPageBreak/>
        <w:t>Ongoing Planning and Stakeholder Consultation</w:t>
      </w:r>
      <w:bookmarkEnd w:id="26"/>
      <w:bookmarkEnd w:id="27"/>
    </w:p>
    <w:p w14:paraId="62D60F60" w14:textId="341AD9EE" w:rsidR="00AF7381" w:rsidRDefault="00AF7381" w:rsidP="00AF7381">
      <w:pPr>
        <w:jc w:val="both"/>
      </w:pPr>
      <w:r w:rsidRPr="00AF7381">
        <w:rPr>
          <w:highlight w:val="yellow"/>
        </w:rPr>
        <w:t>CSCoC engages in ongoing planning with all stakeholders participating in the coordinated entry process.  This planning includes evaluating and updating the coordinated entry process at least annually.  Feedback from individual and families experiencing homelessness or recently connected to housing through the coordinated entry process is regularly gathered and used to improve the process.</w:t>
      </w:r>
    </w:p>
    <w:p w14:paraId="05275003" w14:textId="503540AE" w:rsidR="002E4855" w:rsidRDefault="002E4855" w:rsidP="00AF7381">
      <w:pPr>
        <w:jc w:val="both"/>
      </w:pPr>
    </w:p>
    <w:p w14:paraId="25FF38E4" w14:textId="4B3648F6" w:rsidR="002E4855" w:rsidRDefault="002E4855" w:rsidP="00AF7381">
      <w:pPr>
        <w:jc w:val="both"/>
      </w:pPr>
    </w:p>
    <w:p w14:paraId="7C99DFCD" w14:textId="362BC4E4" w:rsidR="002E4855" w:rsidRDefault="002E4855" w:rsidP="00AF7381">
      <w:pPr>
        <w:jc w:val="both"/>
      </w:pPr>
    </w:p>
    <w:p w14:paraId="482D3DC3" w14:textId="0AA74101" w:rsidR="002E4855" w:rsidRDefault="002E4855" w:rsidP="00AF7381">
      <w:pPr>
        <w:jc w:val="both"/>
      </w:pPr>
    </w:p>
    <w:p w14:paraId="4D756AB3" w14:textId="2C8B3CBB" w:rsidR="002E4855" w:rsidRDefault="002E4855" w:rsidP="00AF7381">
      <w:pPr>
        <w:jc w:val="both"/>
      </w:pPr>
    </w:p>
    <w:p w14:paraId="74A59464" w14:textId="0F3AC4F4" w:rsidR="002E4855" w:rsidRDefault="002E4855" w:rsidP="00AF7381">
      <w:pPr>
        <w:jc w:val="both"/>
      </w:pPr>
    </w:p>
    <w:p w14:paraId="5CA28B99" w14:textId="62D246F2" w:rsidR="002E4855" w:rsidRDefault="002E4855" w:rsidP="00AF7381">
      <w:pPr>
        <w:jc w:val="both"/>
      </w:pPr>
    </w:p>
    <w:p w14:paraId="37F88E00" w14:textId="556C78E8" w:rsidR="002E4855" w:rsidRDefault="002E4855" w:rsidP="00AF7381">
      <w:pPr>
        <w:jc w:val="both"/>
      </w:pPr>
    </w:p>
    <w:p w14:paraId="3D672D21" w14:textId="3A3B2474" w:rsidR="002E4855" w:rsidRDefault="002E4855" w:rsidP="00AF7381">
      <w:pPr>
        <w:jc w:val="both"/>
      </w:pPr>
    </w:p>
    <w:p w14:paraId="09F24B56" w14:textId="2F40E9E0" w:rsidR="002E4855" w:rsidRDefault="002E4855" w:rsidP="00AF7381">
      <w:pPr>
        <w:jc w:val="both"/>
      </w:pPr>
    </w:p>
    <w:p w14:paraId="685902BA" w14:textId="39CA76EF" w:rsidR="002E4855" w:rsidRDefault="002E4855" w:rsidP="00AF7381">
      <w:pPr>
        <w:jc w:val="both"/>
      </w:pPr>
    </w:p>
    <w:p w14:paraId="27416EBD" w14:textId="1442202E" w:rsidR="002E4855" w:rsidRDefault="002E4855" w:rsidP="00AF7381">
      <w:pPr>
        <w:jc w:val="both"/>
      </w:pPr>
    </w:p>
    <w:p w14:paraId="47D93E2E" w14:textId="743350C3" w:rsidR="002E4855" w:rsidRDefault="002E4855" w:rsidP="00AF7381">
      <w:pPr>
        <w:jc w:val="both"/>
      </w:pPr>
    </w:p>
    <w:p w14:paraId="6FAE31D0" w14:textId="08B9E4D6" w:rsidR="002E4855" w:rsidRDefault="002E4855" w:rsidP="00AF7381">
      <w:pPr>
        <w:jc w:val="both"/>
      </w:pPr>
    </w:p>
    <w:p w14:paraId="5E8CAB59" w14:textId="55966BB8" w:rsidR="002E4855" w:rsidRDefault="002E4855" w:rsidP="00AF7381">
      <w:pPr>
        <w:jc w:val="both"/>
      </w:pPr>
    </w:p>
    <w:p w14:paraId="06AF4B63" w14:textId="0DEBCAC4" w:rsidR="002E4855" w:rsidRDefault="002E4855" w:rsidP="00AF7381">
      <w:pPr>
        <w:jc w:val="both"/>
      </w:pPr>
    </w:p>
    <w:p w14:paraId="29CE84B7" w14:textId="72C62D34" w:rsidR="002E4855" w:rsidRDefault="002E4855" w:rsidP="00AF7381">
      <w:pPr>
        <w:jc w:val="both"/>
      </w:pPr>
    </w:p>
    <w:p w14:paraId="37C12418" w14:textId="07927E78" w:rsidR="002E4855" w:rsidRDefault="002E4855" w:rsidP="00AF7381">
      <w:pPr>
        <w:jc w:val="both"/>
      </w:pPr>
    </w:p>
    <w:p w14:paraId="1A0A7B97" w14:textId="1F3419F6" w:rsidR="002E4855" w:rsidRDefault="002E4855" w:rsidP="00AF7381">
      <w:pPr>
        <w:jc w:val="both"/>
      </w:pPr>
    </w:p>
    <w:p w14:paraId="2CD4BE7F" w14:textId="789CD697" w:rsidR="002E4855" w:rsidRDefault="002E4855" w:rsidP="00AF7381">
      <w:pPr>
        <w:jc w:val="both"/>
      </w:pPr>
    </w:p>
    <w:p w14:paraId="33E1517F" w14:textId="66004BAD" w:rsidR="002E4855" w:rsidRDefault="002E4855" w:rsidP="00AF7381">
      <w:pPr>
        <w:jc w:val="both"/>
      </w:pPr>
    </w:p>
    <w:p w14:paraId="3464242F" w14:textId="00CCEDFA" w:rsidR="002E4855" w:rsidRDefault="002E4855" w:rsidP="00AF7381">
      <w:pPr>
        <w:jc w:val="both"/>
      </w:pPr>
    </w:p>
    <w:p w14:paraId="50D24D8F" w14:textId="2EF65A91" w:rsidR="002E4855" w:rsidRDefault="002E4855" w:rsidP="00AF7381">
      <w:pPr>
        <w:jc w:val="both"/>
      </w:pPr>
    </w:p>
    <w:p w14:paraId="3BFD3608" w14:textId="7C0EA413" w:rsidR="002E4855" w:rsidRDefault="002E4855" w:rsidP="00AF7381">
      <w:pPr>
        <w:jc w:val="both"/>
      </w:pPr>
    </w:p>
    <w:p w14:paraId="58B95E91" w14:textId="5A6DCFA5" w:rsidR="002E4855" w:rsidRDefault="002E4855" w:rsidP="00AF7381">
      <w:pPr>
        <w:jc w:val="both"/>
      </w:pPr>
    </w:p>
    <w:p w14:paraId="41C3C728" w14:textId="0EBC17AF" w:rsidR="002E4855" w:rsidRDefault="002E4855" w:rsidP="00AF7381">
      <w:pPr>
        <w:jc w:val="both"/>
      </w:pPr>
    </w:p>
    <w:p w14:paraId="60E5595B" w14:textId="59A1EE85" w:rsidR="002E4855" w:rsidRDefault="002E4855" w:rsidP="00AF7381">
      <w:pPr>
        <w:jc w:val="both"/>
      </w:pPr>
    </w:p>
    <w:p w14:paraId="344844D3" w14:textId="53852AB1" w:rsidR="002E4855" w:rsidRDefault="002E4855" w:rsidP="00AF7381">
      <w:pPr>
        <w:jc w:val="both"/>
      </w:pPr>
    </w:p>
    <w:p w14:paraId="36C3B28D" w14:textId="0CA5946E" w:rsidR="002E4855" w:rsidRDefault="002E4855" w:rsidP="00AF7381">
      <w:pPr>
        <w:jc w:val="both"/>
      </w:pPr>
    </w:p>
    <w:p w14:paraId="473C0532" w14:textId="64A022B5" w:rsidR="002E4855" w:rsidRDefault="002E4855" w:rsidP="00AF7381">
      <w:pPr>
        <w:jc w:val="both"/>
      </w:pPr>
    </w:p>
    <w:p w14:paraId="301F7FAA" w14:textId="77777777" w:rsidR="002E4855" w:rsidRDefault="002E4855" w:rsidP="00AF7381">
      <w:pPr>
        <w:jc w:val="both"/>
      </w:pPr>
    </w:p>
    <w:p w14:paraId="088F0DE7" w14:textId="53496C18" w:rsidR="00AF7381" w:rsidRPr="004B7B0B" w:rsidRDefault="00AF7381" w:rsidP="00AF7381">
      <w:pPr>
        <w:pStyle w:val="Heading1"/>
        <w:rPr>
          <w:b/>
          <w:bCs/>
          <w:color w:val="0070C0"/>
          <w:highlight w:val="yellow"/>
        </w:rPr>
      </w:pPr>
      <w:bookmarkStart w:id="28" w:name="_Toc124254981"/>
      <w:r w:rsidRPr="004B7B0B">
        <w:rPr>
          <w:b/>
          <w:bCs/>
          <w:color w:val="0070C0"/>
          <w:highlight w:val="yellow"/>
        </w:rPr>
        <w:lastRenderedPageBreak/>
        <w:t>Access</w:t>
      </w:r>
      <w:bookmarkEnd w:id="28"/>
    </w:p>
    <w:p w14:paraId="7AADBEAC" w14:textId="77777777" w:rsidR="00AF7381" w:rsidRPr="004B7B0B" w:rsidRDefault="00AF7381" w:rsidP="00AF7381">
      <w:pPr>
        <w:pStyle w:val="Heading2"/>
        <w:rPr>
          <w:color w:val="0070C0"/>
          <w:highlight w:val="yellow"/>
        </w:rPr>
      </w:pPr>
      <w:bookmarkStart w:id="29" w:name="_Toc34043181"/>
      <w:bookmarkStart w:id="30" w:name="_Toc124254982"/>
      <w:r w:rsidRPr="004B7B0B">
        <w:rPr>
          <w:color w:val="0070C0"/>
          <w:highlight w:val="yellow"/>
        </w:rPr>
        <w:t>Full Coverage</w:t>
      </w:r>
      <w:bookmarkEnd w:id="29"/>
      <w:bookmarkEnd w:id="30"/>
    </w:p>
    <w:p w14:paraId="7678B6A8" w14:textId="77777777" w:rsidR="00AF7381" w:rsidRPr="00AF7381" w:rsidRDefault="00AF7381" w:rsidP="00AF7381">
      <w:pPr>
        <w:jc w:val="both"/>
        <w:rPr>
          <w:highlight w:val="yellow"/>
        </w:rPr>
      </w:pPr>
      <w:r w:rsidRPr="00AF7381">
        <w:rPr>
          <w:highlight w:val="yellow"/>
        </w:rPr>
        <w:t>The CSCoC ensures that the crisis response system is accessible throughout the geographic service area.  The coordinated entry process uses multiple points of access to achieve the full coverage required.  Our community specifically joined together as the CSCoC to share a regional coordinated entry process to achieve both efficiencies and full geographic coverage.</w:t>
      </w:r>
    </w:p>
    <w:p w14:paraId="10044AA3" w14:textId="77777777" w:rsidR="00AF7381" w:rsidRPr="00AF7381" w:rsidRDefault="00AF7381" w:rsidP="00AF7381">
      <w:pPr>
        <w:jc w:val="both"/>
        <w:rPr>
          <w:highlight w:val="yellow"/>
        </w:rPr>
      </w:pPr>
    </w:p>
    <w:p w14:paraId="0FB00F95" w14:textId="4CA8F5AB" w:rsidR="00AF7381" w:rsidRPr="00AF7381" w:rsidRDefault="00AF7381" w:rsidP="00AF7381">
      <w:pPr>
        <w:jc w:val="both"/>
        <w:rPr>
          <w:highlight w:val="yellow"/>
        </w:rPr>
      </w:pPr>
      <w:r w:rsidRPr="00AF7381">
        <w:rPr>
          <w:highlight w:val="yellow"/>
        </w:rPr>
        <w:t xml:space="preserve">These </w:t>
      </w:r>
      <w:r w:rsidR="00CF123B">
        <w:rPr>
          <w:highlight w:val="yellow"/>
        </w:rPr>
        <w:t>W</w:t>
      </w:r>
      <w:r w:rsidRPr="00AF7381">
        <w:rPr>
          <w:highlight w:val="yellow"/>
        </w:rPr>
        <w:t xml:space="preserve">ritten </w:t>
      </w:r>
      <w:r w:rsidR="00CF123B">
        <w:rPr>
          <w:highlight w:val="yellow"/>
        </w:rPr>
        <w:t>Standards</w:t>
      </w:r>
      <w:r w:rsidRPr="00AF7381">
        <w:rPr>
          <w:highlight w:val="yellow"/>
        </w:rPr>
        <w:t xml:space="preserve"> describe the relationship of the CSCoC to the coordinated entry process, and address how the core elements of ensuring access, standardizing assessments, and implementing uniform referral operate. </w:t>
      </w:r>
    </w:p>
    <w:p w14:paraId="70527BBA" w14:textId="77777777" w:rsidR="00AF7381" w:rsidRPr="00AF7381" w:rsidRDefault="00AF7381" w:rsidP="00AF7381">
      <w:pPr>
        <w:jc w:val="both"/>
        <w:rPr>
          <w:highlight w:val="yellow"/>
        </w:rPr>
      </w:pPr>
    </w:p>
    <w:p w14:paraId="27617C0B" w14:textId="77777777" w:rsidR="00AF7381" w:rsidRPr="004B7B0B" w:rsidRDefault="00AF7381" w:rsidP="00AF7381">
      <w:pPr>
        <w:pStyle w:val="Heading2"/>
        <w:rPr>
          <w:color w:val="0070C0"/>
          <w:highlight w:val="yellow"/>
        </w:rPr>
      </w:pPr>
      <w:bookmarkStart w:id="31" w:name="_Toc34043182"/>
      <w:bookmarkStart w:id="32" w:name="_Toc124254983"/>
      <w:r w:rsidRPr="004B7B0B">
        <w:rPr>
          <w:color w:val="0070C0"/>
          <w:highlight w:val="yellow"/>
        </w:rPr>
        <w:t>Non-Discriminatory Access</w:t>
      </w:r>
      <w:bookmarkEnd w:id="31"/>
      <w:bookmarkEnd w:id="32"/>
    </w:p>
    <w:p w14:paraId="61E07402" w14:textId="77777777" w:rsidR="00AF7381" w:rsidRPr="00AF7381" w:rsidRDefault="00AF7381" w:rsidP="00AF7381">
      <w:pPr>
        <w:jc w:val="both"/>
        <w:rPr>
          <w:highlight w:val="yellow"/>
        </w:rPr>
      </w:pPr>
      <w:r w:rsidRPr="00AF7381">
        <w:rPr>
          <w:highlight w:val="yellow"/>
        </w:rPr>
        <w:t xml:space="preserve">No household shall be discriminated against in any program, service, or activity funded or administered by the CSCoC on the basis of age, race, color, religious creed, gender, sex, familial status, sexual orientation, national origin, ancestry, medical condition, disability, genetic information, citizenship status, political affiliation, veteran status, income, or any other class protected by law. </w:t>
      </w:r>
    </w:p>
    <w:p w14:paraId="7ACF4B89" w14:textId="77777777" w:rsidR="00AF7381" w:rsidRPr="00AF7381" w:rsidRDefault="00AF7381" w:rsidP="00AF7381">
      <w:pPr>
        <w:jc w:val="both"/>
        <w:rPr>
          <w:highlight w:val="yellow"/>
        </w:rPr>
      </w:pPr>
    </w:p>
    <w:p w14:paraId="7D91CCAA" w14:textId="77777777" w:rsidR="00AF7381" w:rsidRPr="004B7B0B" w:rsidRDefault="00AF7381" w:rsidP="00AF7381">
      <w:pPr>
        <w:pStyle w:val="Heading2"/>
        <w:rPr>
          <w:color w:val="0070C0"/>
          <w:highlight w:val="yellow"/>
        </w:rPr>
      </w:pPr>
      <w:bookmarkStart w:id="33" w:name="_Toc34043183"/>
      <w:bookmarkStart w:id="34" w:name="_Toc124254984"/>
      <w:r w:rsidRPr="004B7B0B">
        <w:rPr>
          <w:color w:val="0070C0"/>
          <w:highlight w:val="yellow"/>
        </w:rPr>
        <w:t>Affirmative Marketing and Outreach</w:t>
      </w:r>
      <w:bookmarkEnd w:id="33"/>
      <w:bookmarkEnd w:id="34"/>
    </w:p>
    <w:p w14:paraId="5D658660" w14:textId="030DDC3A" w:rsidR="00AF7381" w:rsidRPr="00AF7381" w:rsidRDefault="00AF7381" w:rsidP="00AF7381">
      <w:pPr>
        <w:jc w:val="both"/>
        <w:rPr>
          <w:highlight w:val="yellow"/>
        </w:rPr>
      </w:pPr>
      <w:r w:rsidRPr="00AF7381">
        <w:rPr>
          <w:highlight w:val="yellow"/>
        </w:rPr>
        <w:t xml:space="preserve">CSCoC and recipients of CSCoC and ESG Program funding are required to affirmatively market housing and supportive services projects to eligible households who are least likely to apply in the absence of special outreach.  This is regardless of race, color, national origin, religion, sex, age, familial status, marital status, handicap, actual or perceived sexual orientation, or gender identity.  To ensure the coordinated entry process assists CSCoC and ESG Program recipients in meeting this requirement, the CSCoC developed an affirmative marketing strategy for its coordinated entry process as evidenced by </w:t>
      </w:r>
      <w:r w:rsidR="00CF123B">
        <w:rPr>
          <w:highlight w:val="yellow"/>
        </w:rPr>
        <w:t>these Written Standards</w:t>
      </w:r>
      <w:r w:rsidRPr="00AF7381">
        <w:rPr>
          <w:highlight w:val="yellow"/>
        </w:rPr>
        <w:t xml:space="preserve">. </w:t>
      </w:r>
    </w:p>
    <w:p w14:paraId="1AE0EB04" w14:textId="77777777" w:rsidR="00AF7381" w:rsidRPr="00AF7381" w:rsidRDefault="00AF7381" w:rsidP="00AF7381">
      <w:pPr>
        <w:jc w:val="both"/>
        <w:rPr>
          <w:highlight w:val="yellow"/>
        </w:rPr>
      </w:pPr>
    </w:p>
    <w:p w14:paraId="41A4BFA3" w14:textId="77777777" w:rsidR="00AF7381" w:rsidRPr="00AF7381" w:rsidRDefault="00AF7381" w:rsidP="00AF7381">
      <w:pPr>
        <w:jc w:val="both"/>
        <w:rPr>
          <w:highlight w:val="yellow"/>
        </w:rPr>
      </w:pPr>
      <w:r w:rsidRPr="00AF7381">
        <w:rPr>
          <w:highlight w:val="yellow"/>
        </w:rPr>
        <w:t xml:space="preserve">Advertisements of CES include written flyers and documents, approved by the CSCoC, explaining the CES process, characteristics, and guidelines.  Advertisements may be used in local newspapers, on local radio stations, or on local television stations in the service area. </w:t>
      </w:r>
    </w:p>
    <w:p w14:paraId="6858991E" w14:textId="77777777" w:rsidR="00AF7381" w:rsidRPr="00AF7381" w:rsidRDefault="00AF7381" w:rsidP="00AF7381">
      <w:pPr>
        <w:jc w:val="both"/>
        <w:rPr>
          <w:highlight w:val="yellow"/>
        </w:rPr>
      </w:pPr>
    </w:p>
    <w:p w14:paraId="29F709FD" w14:textId="77777777" w:rsidR="00AF7381" w:rsidRPr="00AF7381" w:rsidRDefault="00AF7381" w:rsidP="00AF7381">
      <w:pPr>
        <w:jc w:val="both"/>
        <w:rPr>
          <w:highlight w:val="yellow"/>
        </w:rPr>
      </w:pPr>
      <w:r w:rsidRPr="00AF7381">
        <w:rPr>
          <w:highlight w:val="yellow"/>
        </w:rPr>
        <w:t>Resources and information about CES are provided to local businesses, hospitals, places of worship, schools, law enforcement, and other places the targeted population receives assistance or services.</w:t>
      </w:r>
    </w:p>
    <w:p w14:paraId="0546EC94" w14:textId="77777777" w:rsidR="00AF7381" w:rsidRPr="00AF7381" w:rsidRDefault="00AF7381" w:rsidP="00AF7381">
      <w:pPr>
        <w:jc w:val="both"/>
        <w:rPr>
          <w:highlight w:val="yellow"/>
        </w:rPr>
      </w:pPr>
    </w:p>
    <w:p w14:paraId="0CEEB00D" w14:textId="77777777" w:rsidR="00AF7381" w:rsidRPr="00AF7381" w:rsidRDefault="00AF7381" w:rsidP="00AF7381">
      <w:pPr>
        <w:jc w:val="both"/>
        <w:rPr>
          <w:highlight w:val="yellow"/>
        </w:rPr>
      </w:pPr>
      <w:r w:rsidRPr="00AF7381">
        <w:rPr>
          <w:highlight w:val="yellow"/>
        </w:rPr>
        <w:t xml:space="preserve">CSCoC and ESG funded street outreach efforts are linked to the coordinated entry process.  The coordinated entry process is linked to street outreach efforts so that households sleeping on the streets are prioritized for assistance in the same manner as any other household assessed through the coordinated entry process.  </w:t>
      </w:r>
    </w:p>
    <w:p w14:paraId="3BE4A4BC" w14:textId="77777777" w:rsidR="00AF7381" w:rsidRPr="00AF7381" w:rsidRDefault="00AF7381" w:rsidP="00AF7381">
      <w:pPr>
        <w:jc w:val="both"/>
        <w:rPr>
          <w:highlight w:val="yellow"/>
        </w:rPr>
      </w:pPr>
    </w:p>
    <w:p w14:paraId="4D909B1C" w14:textId="77777777" w:rsidR="00AF7381" w:rsidRPr="00AF7381" w:rsidRDefault="00AF7381" w:rsidP="00AF7381">
      <w:pPr>
        <w:jc w:val="both"/>
        <w:rPr>
          <w:highlight w:val="yellow"/>
        </w:rPr>
      </w:pPr>
      <w:r w:rsidRPr="00AF7381">
        <w:rPr>
          <w:highlight w:val="yellow"/>
        </w:rPr>
        <w:lastRenderedPageBreak/>
        <w:t xml:space="preserve">CSCoC incorporates assessment in part or whole into street outreach.  The CSCoC meets HUD’s requirement that coordinated entry reach the entire geographic service area by designating outreach as a defined access point, one that can flexibly navigate to reach homeless households wherever they reside.  </w:t>
      </w:r>
    </w:p>
    <w:p w14:paraId="3F9B60B5" w14:textId="77777777" w:rsidR="00AF7381" w:rsidRPr="00AF7381" w:rsidRDefault="00AF7381" w:rsidP="00AF7381">
      <w:pPr>
        <w:jc w:val="both"/>
        <w:rPr>
          <w:highlight w:val="yellow"/>
        </w:rPr>
      </w:pPr>
    </w:p>
    <w:p w14:paraId="46D9C9EF" w14:textId="77777777" w:rsidR="00AF7381" w:rsidRPr="004B7B0B" w:rsidRDefault="00AF7381" w:rsidP="00AF7381">
      <w:pPr>
        <w:pStyle w:val="Heading2"/>
        <w:rPr>
          <w:color w:val="0070C0"/>
          <w:highlight w:val="yellow"/>
        </w:rPr>
      </w:pPr>
      <w:bookmarkStart w:id="35" w:name="_Toc34043184"/>
      <w:bookmarkStart w:id="36" w:name="_Toc124254985"/>
      <w:r w:rsidRPr="004B7B0B">
        <w:rPr>
          <w:color w:val="0070C0"/>
          <w:highlight w:val="yellow"/>
        </w:rPr>
        <w:t>Emergency Services</w:t>
      </w:r>
      <w:bookmarkEnd w:id="35"/>
      <w:bookmarkEnd w:id="36"/>
    </w:p>
    <w:p w14:paraId="2C24A8EC" w14:textId="77777777" w:rsidR="00AF7381" w:rsidRPr="00AF7381" w:rsidRDefault="00AF7381" w:rsidP="00AF7381">
      <w:pPr>
        <w:rPr>
          <w:highlight w:val="yellow"/>
          <w:u w:val="single"/>
        </w:rPr>
      </w:pPr>
      <w:r w:rsidRPr="00AF7381">
        <w:rPr>
          <w:highlight w:val="yellow"/>
          <w:u w:val="single"/>
        </w:rPr>
        <w:t>Low Barrier</w:t>
      </w:r>
    </w:p>
    <w:p w14:paraId="15712A12" w14:textId="77777777" w:rsidR="00AF7381" w:rsidRPr="00AF7381" w:rsidRDefault="00AF7381" w:rsidP="00AF7381">
      <w:pPr>
        <w:jc w:val="both"/>
        <w:rPr>
          <w:highlight w:val="yellow"/>
        </w:rPr>
      </w:pPr>
      <w:r w:rsidRPr="00AF7381">
        <w:rPr>
          <w:highlight w:val="yellow"/>
        </w:rPr>
        <w:t>Emergency services, including all domestic violence and emergency services hotlines, drop-in service programs, and emergency shelters, including domestic violence shelters and other short-term crisis residential programs, must operate with as few barriers to entry as possible.</w:t>
      </w:r>
    </w:p>
    <w:p w14:paraId="3167C131" w14:textId="77777777" w:rsidR="00AF7381" w:rsidRPr="00AF7381" w:rsidRDefault="00AF7381" w:rsidP="00AF7381">
      <w:pPr>
        <w:jc w:val="both"/>
        <w:rPr>
          <w:highlight w:val="yellow"/>
        </w:rPr>
      </w:pPr>
    </w:p>
    <w:p w14:paraId="746B47AB" w14:textId="77777777" w:rsidR="00AF7381" w:rsidRPr="00AF7381" w:rsidRDefault="00AF7381" w:rsidP="00AF7381">
      <w:pPr>
        <w:jc w:val="both"/>
        <w:rPr>
          <w:highlight w:val="yellow"/>
        </w:rPr>
      </w:pPr>
      <w:r w:rsidRPr="00AF7381">
        <w:rPr>
          <w:highlight w:val="yellow"/>
        </w:rPr>
        <w:t>Emergency shelters funded with ESG use streamlined assessment tools that reflect low barrier entry and diversion within the referral process.</w:t>
      </w:r>
    </w:p>
    <w:p w14:paraId="52A96747" w14:textId="77777777" w:rsidR="00AF7381" w:rsidRPr="00AF7381" w:rsidRDefault="00AF7381" w:rsidP="00AF7381">
      <w:pPr>
        <w:jc w:val="both"/>
        <w:rPr>
          <w:highlight w:val="yellow"/>
        </w:rPr>
      </w:pPr>
    </w:p>
    <w:p w14:paraId="47EBE7E2" w14:textId="77777777" w:rsidR="00AF7381" w:rsidRPr="00AF7381" w:rsidRDefault="00AF7381" w:rsidP="00AF7381">
      <w:pPr>
        <w:jc w:val="both"/>
        <w:rPr>
          <w:highlight w:val="yellow"/>
        </w:rPr>
      </w:pPr>
      <w:r w:rsidRPr="00AF7381">
        <w:rPr>
          <w:highlight w:val="yellow"/>
        </w:rPr>
        <w:t xml:space="preserve">Coordinated entry allows for households experiencing a housing crisis to access emergency services with as few barriers as possible.  Coordinated entry access points provide “unqualified” emergency access, meaning access is not limited to certain populations.  Emergency access point service providers include all types of emergency services such as homelessness prevention assistance, domestic violence and emergency services hotlines, drop-in services programs, emergency shelters, and other short-term crisis residential programs.  Households are able to access emergency services independent of the operating hours of the CSCoC’s coordinated entry processes for intake and assessment.  </w:t>
      </w:r>
    </w:p>
    <w:p w14:paraId="402BA1D1" w14:textId="77777777" w:rsidR="00AF7381" w:rsidRPr="00AF7381" w:rsidRDefault="00AF7381" w:rsidP="00AF7381">
      <w:pPr>
        <w:jc w:val="both"/>
        <w:rPr>
          <w:highlight w:val="yellow"/>
        </w:rPr>
      </w:pPr>
    </w:p>
    <w:p w14:paraId="64EBAB29" w14:textId="77777777" w:rsidR="00AF7381" w:rsidRPr="00AF7381" w:rsidRDefault="00AF7381" w:rsidP="00AF7381">
      <w:pPr>
        <w:spacing w:after="120"/>
        <w:jc w:val="both"/>
        <w:rPr>
          <w:highlight w:val="yellow"/>
        </w:rPr>
      </w:pPr>
      <w:r w:rsidRPr="00AF7381">
        <w:rPr>
          <w:highlight w:val="yellow"/>
        </w:rPr>
        <w:t>The coordinated entry process does not delay access to emergency services such as shelter.  The process includes a manner for households to access emergency services at all hours independent of the operating hours of the coordinated entry intake and assessment processes. For example, households who need emergency shelter at night can access shelter, to the extent shelter is available, and then receive an assessment in the days that follow, even if the shelter is the access point to the coordinated entry process.</w:t>
      </w:r>
    </w:p>
    <w:p w14:paraId="401234BD" w14:textId="77777777" w:rsidR="00AF7381" w:rsidRPr="00AF7381" w:rsidRDefault="00AF7381" w:rsidP="00AF7381">
      <w:pPr>
        <w:spacing w:before="240"/>
        <w:rPr>
          <w:highlight w:val="yellow"/>
          <w:u w:val="single"/>
        </w:rPr>
      </w:pPr>
      <w:r w:rsidRPr="00AF7381">
        <w:rPr>
          <w:highlight w:val="yellow"/>
          <w:u w:val="single"/>
        </w:rPr>
        <w:t>Not Subject to Prioritization</w:t>
      </w:r>
    </w:p>
    <w:p w14:paraId="157DFF45" w14:textId="77777777" w:rsidR="00AF7381" w:rsidRPr="00AF7381" w:rsidRDefault="00AF7381" w:rsidP="00AF7381">
      <w:pPr>
        <w:jc w:val="both"/>
        <w:rPr>
          <w:highlight w:val="yellow"/>
        </w:rPr>
      </w:pPr>
      <w:r w:rsidRPr="00AF7381">
        <w:rPr>
          <w:highlight w:val="yellow"/>
        </w:rPr>
        <w:t>Emergency shelters are not required to follow the established prioritization criteria to place households in emergency shelter beds.  If the offered prevention and diversion resources do not resolve a household’s need for housing, access point service provider shall connect the household to local emergency shelter resources to solve their immediate housing crisis while longer term resources are explored.  Shelter service provider will assist all households who initially present at that shelter to access CES within 48 hours.</w:t>
      </w:r>
    </w:p>
    <w:p w14:paraId="1DB6ADEB" w14:textId="77777777" w:rsidR="00AF7381" w:rsidRPr="00AF7381" w:rsidRDefault="00AF7381" w:rsidP="00AF7381">
      <w:pPr>
        <w:jc w:val="both"/>
        <w:rPr>
          <w:highlight w:val="yellow"/>
        </w:rPr>
      </w:pPr>
    </w:p>
    <w:p w14:paraId="043ADE86" w14:textId="77777777" w:rsidR="00AF7381" w:rsidRPr="00AF7381" w:rsidRDefault="00AF7381" w:rsidP="00AF7381">
      <w:pPr>
        <w:jc w:val="both"/>
        <w:rPr>
          <w:highlight w:val="yellow"/>
        </w:rPr>
      </w:pPr>
      <w:r w:rsidRPr="00AF7381">
        <w:rPr>
          <w:highlight w:val="yellow"/>
        </w:rPr>
        <w:t xml:space="preserve">Emergency shelters do not hold beds or prioritize.  All shelters fill beds according to households that are in immediate need due to homeless crisis issues.  Households admitted to shelters are connected by the Emergency Shelter Coordinator through CES as quickly as possible.  </w:t>
      </w:r>
    </w:p>
    <w:p w14:paraId="61777F76" w14:textId="77777777" w:rsidR="00AF7381" w:rsidRPr="00AF7381" w:rsidRDefault="00AF7381" w:rsidP="00AF7381">
      <w:pPr>
        <w:jc w:val="both"/>
        <w:rPr>
          <w:highlight w:val="yellow"/>
        </w:rPr>
      </w:pPr>
    </w:p>
    <w:p w14:paraId="4061C854" w14:textId="77777777" w:rsidR="00AF7381" w:rsidRPr="00AF7381" w:rsidRDefault="00AF7381" w:rsidP="00AF7381">
      <w:pPr>
        <w:spacing w:after="120"/>
        <w:jc w:val="both"/>
        <w:rPr>
          <w:highlight w:val="yellow"/>
        </w:rPr>
      </w:pPr>
      <w:r w:rsidRPr="00AF7381">
        <w:rPr>
          <w:highlight w:val="yellow"/>
        </w:rPr>
        <w:lastRenderedPageBreak/>
        <w:t>Access to emergency service, such as entry to emergency shelter, are not prioritized based on severity of service need or vulnerability.  Emergency services funded through the ESG Program promulgate written standards required under 276.400(e)(3)(iv).</w:t>
      </w:r>
    </w:p>
    <w:p w14:paraId="024F1F07" w14:textId="77777777" w:rsidR="00AF7381" w:rsidRPr="00AF7381" w:rsidRDefault="00AF7381" w:rsidP="00AF7381">
      <w:pPr>
        <w:spacing w:before="240"/>
        <w:rPr>
          <w:highlight w:val="yellow"/>
          <w:u w:val="single"/>
        </w:rPr>
      </w:pPr>
      <w:r w:rsidRPr="00AF7381">
        <w:rPr>
          <w:highlight w:val="yellow"/>
          <w:u w:val="single"/>
        </w:rPr>
        <w:t>24-Hour Connection to Emergency System</w:t>
      </w:r>
    </w:p>
    <w:p w14:paraId="30660139" w14:textId="77777777" w:rsidR="00AF7381" w:rsidRPr="00AF7381" w:rsidRDefault="00AF7381" w:rsidP="00AF7381">
      <w:pPr>
        <w:jc w:val="both"/>
        <w:rPr>
          <w:highlight w:val="yellow"/>
        </w:rPr>
      </w:pPr>
      <w:r w:rsidRPr="00AF7381">
        <w:rPr>
          <w:highlight w:val="yellow"/>
        </w:rPr>
        <w:t>Households needing immediate entry for emergency shelter will be contacted the next business day for prioritization.  If the household is currently experiencing domestic violence, they will be referred to a local domestic violence shelter crisis hotline.</w:t>
      </w:r>
    </w:p>
    <w:p w14:paraId="5449AB98" w14:textId="77777777" w:rsidR="00AF7381" w:rsidRPr="00AF7381" w:rsidRDefault="00AF7381" w:rsidP="00AF7381">
      <w:pPr>
        <w:jc w:val="both"/>
        <w:rPr>
          <w:highlight w:val="yellow"/>
        </w:rPr>
      </w:pPr>
    </w:p>
    <w:p w14:paraId="2948C66E" w14:textId="77777777" w:rsidR="00AF7381" w:rsidRPr="00AF7381" w:rsidRDefault="00AF7381" w:rsidP="00AF7381">
      <w:pPr>
        <w:jc w:val="both"/>
        <w:rPr>
          <w:highlight w:val="yellow"/>
        </w:rPr>
      </w:pPr>
      <w:r w:rsidRPr="00AF7381">
        <w:rPr>
          <w:highlight w:val="yellow"/>
        </w:rPr>
        <w:t>If no shelter has available space, the household will be sent to the closest available crisis housing (i.e., churches, hotels, motels).</w:t>
      </w:r>
    </w:p>
    <w:p w14:paraId="67F12620" w14:textId="77777777" w:rsidR="00AF7381" w:rsidRPr="00AF7381" w:rsidRDefault="00AF7381" w:rsidP="00AF7381">
      <w:pPr>
        <w:jc w:val="both"/>
        <w:rPr>
          <w:highlight w:val="yellow"/>
        </w:rPr>
      </w:pPr>
    </w:p>
    <w:p w14:paraId="2950945C" w14:textId="77777777" w:rsidR="00AF7381" w:rsidRPr="00AF7381" w:rsidRDefault="00AF7381" w:rsidP="00AF7381">
      <w:pPr>
        <w:jc w:val="both"/>
        <w:rPr>
          <w:highlight w:val="yellow"/>
        </w:rPr>
      </w:pPr>
      <w:r w:rsidRPr="00AF7381">
        <w:rPr>
          <w:highlight w:val="yellow"/>
        </w:rPr>
        <w:t>If the household does not initially present at an emergency shelter, they are referred to the closest emergency shelter.  Emergency shelters require a phone intake assessment before entry.  If that shelter is full, the shelter will offer a referral to another shelter within the CSCoC that does have appropriate space for the household.</w:t>
      </w:r>
    </w:p>
    <w:p w14:paraId="13585522" w14:textId="77777777" w:rsidR="00AF7381" w:rsidRPr="00AF7381" w:rsidRDefault="00AF7381" w:rsidP="00AF7381">
      <w:pPr>
        <w:jc w:val="both"/>
        <w:rPr>
          <w:highlight w:val="yellow"/>
        </w:rPr>
      </w:pPr>
    </w:p>
    <w:p w14:paraId="3EC6A64F" w14:textId="77777777" w:rsidR="00AF7381" w:rsidRPr="00AF7381" w:rsidRDefault="00AF7381" w:rsidP="00AF7381">
      <w:pPr>
        <w:jc w:val="both"/>
        <w:rPr>
          <w:highlight w:val="yellow"/>
        </w:rPr>
      </w:pPr>
      <w:r w:rsidRPr="00AF7381">
        <w:rPr>
          <w:highlight w:val="yellow"/>
        </w:rPr>
        <w:t>All households accepted into shelters are referred to CES as quickly as possible to ensure their placement in the appropriate programs available to them.</w:t>
      </w:r>
    </w:p>
    <w:p w14:paraId="65E6FDF0" w14:textId="77777777" w:rsidR="00AF7381" w:rsidRPr="00AF7381" w:rsidRDefault="00AF7381" w:rsidP="00AF7381">
      <w:pPr>
        <w:jc w:val="both"/>
        <w:rPr>
          <w:highlight w:val="yellow"/>
        </w:rPr>
      </w:pPr>
    </w:p>
    <w:p w14:paraId="69A8C6D6" w14:textId="77777777" w:rsidR="00AF7381" w:rsidRPr="00AF7381" w:rsidRDefault="00AF7381" w:rsidP="00AF7381">
      <w:pPr>
        <w:jc w:val="both"/>
        <w:rPr>
          <w:highlight w:val="yellow"/>
        </w:rPr>
      </w:pPr>
      <w:r w:rsidRPr="00AF7381">
        <w:rPr>
          <w:highlight w:val="yellow"/>
        </w:rPr>
        <w:t>All physical access points/HUB Stations maintain after-hours answering services that provide information on accessing emergency shelters and the call-back time window.</w:t>
      </w:r>
    </w:p>
    <w:p w14:paraId="0AE0FA1B" w14:textId="77777777" w:rsidR="00AF7381" w:rsidRPr="00AF7381" w:rsidRDefault="00AF7381" w:rsidP="00AF7381">
      <w:pPr>
        <w:jc w:val="both"/>
        <w:rPr>
          <w:highlight w:val="yellow"/>
        </w:rPr>
      </w:pPr>
    </w:p>
    <w:p w14:paraId="73E782AC" w14:textId="77777777" w:rsidR="00AF7381" w:rsidRPr="00AF7381" w:rsidRDefault="00AF7381" w:rsidP="00AF7381">
      <w:pPr>
        <w:jc w:val="both"/>
        <w:rPr>
          <w:highlight w:val="yellow"/>
        </w:rPr>
      </w:pPr>
      <w:r w:rsidRPr="00AF7381">
        <w:rPr>
          <w:highlight w:val="yellow"/>
        </w:rPr>
        <w:t>The CES is tied to CSCoC’s emergency care system through a Memorandum of Understanding between the CSCoC and emergency service providers that includes the following duties:</w:t>
      </w:r>
    </w:p>
    <w:p w14:paraId="138CE86A" w14:textId="77777777" w:rsidR="00AF7381" w:rsidRPr="00AF7381" w:rsidRDefault="00AF7381">
      <w:pPr>
        <w:pStyle w:val="ListParagraph"/>
        <w:numPr>
          <w:ilvl w:val="0"/>
          <w:numId w:val="152"/>
        </w:numPr>
        <w:spacing w:after="120"/>
        <w:contextualSpacing w:val="0"/>
        <w:jc w:val="both"/>
        <w:rPr>
          <w:highlight w:val="yellow"/>
        </w:rPr>
      </w:pPr>
      <w:r w:rsidRPr="00AF7381">
        <w:rPr>
          <w:highlight w:val="yellow"/>
        </w:rPr>
        <w:t>Emergency service providers shall notify a Coordinated Entry Specialist regarding new homeless households who have been served at night within 48 hours, so that those households can be integrated into the CES as soon as the access point opens for business.</w:t>
      </w:r>
    </w:p>
    <w:p w14:paraId="1FBCDB97" w14:textId="77777777" w:rsidR="00AF7381" w:rsidRPr="00AF7381" w:rsidRDefault="00AF7381">
      <w:pPr>
        <w:pStyle w:val="ListParagraph"/>
        <w:numPr>
          <w:ilvl w:val="0"/>
          <w:numId w:val="152"/>
        </w:numPr>
        <w:spacing w:after="120"/>
        <w:contextualSpacing w:val="0"/>
        <w:jc w:val="both"/>
        <w:rPr>
          <w:highlight w:val="yellow"/>
        </w:rPr>
      </w:pPr>
      <w:r w:rsidRPr="00AF7381">
        <w:rPr>
          <w:highlight w:val="yellow"/>
        </w:rPr>
        <w:t>Emergency service providers, including all domestic violence hotlines, emergency service hotlines, drop-in service emergency shelters, domestic violence shelters, and other short-term crisis residential programs, shall receive and care for households including during hours when coordinated entry HUBs may be closed for business.</w:t>
      </w:r>
    </w:p>
    <w:p w14:paraId="2B40E25C" w14:textId="77777777" w:rsidR="00AF7381" w:rsidRPr="00AF7381" w:rsidRDefault="00AF7381">
      <w:pPr>
        <w:pStyle w:val="ListParagraph"/>
        <w:numPr>
          <w:ilvl w:val="0"/>
          <w:numId w:val="152"/>
        </w:numPr>
        <w:contextualSpacing w:val="0"/>
        <w:jc w:val="both"/>
        <w:rPr>
          <w:highlight w:val="yellow"/>
        </w:rPr>
      </w:pPr>
      <w:r w:rsidRPr="00AF7381">
        <w:rPr>
          <w:highlight w:val="yellow"/>
        </w:rPr>
        <w:t>The CSCoC Board shall host a meeting between homeless services providers and emergency services providers at least twice per year to discuss strategies for reducing barriers to communication and collaboration.</w:t>
      </w:r>
    </w:p>
    <w:p w14:paraId="7338A73B" w14:textId="77777777" w:rsidR="00AF7381" w:rsidRPr="00AF7381" w:rsidRDefault="00AF7381" w:rsidP="00AF7381">
      <w:pPr>
        <w:pStyle w:val="ListParagraph"/>
        <w:contextualSpacing w:val="0"/>
        <w:jc w:val="both"/>
        <w:rPr>
          <w:highlight w:val="yellow"/>
        </w:rPr>
      </w:pPr>
    </w:p>
    <w:p w14:paraId="5F746B08" w14:textId="77777777" w:rsidR="00AF7381" w:rsidRPr="004B7B0B" w:rsidRDefault="00AF7381" w:rsidP="00AF7381">
      <w:pPr>
        <w:pStyle w:val="Heading2"/>
        <w:rPr>
          <w:color w:val="0070C0"/>
          <w:highlight w:val="yellow"/>
        </w:rPr>
      </w:pPr>
      <w:bookmarkStart w:id="37" w:name="_Toc34043185"/>
      <w:bookmarkStart w:id="38" w:name="_Toc124254986"/>
      <w:r w:rsidRPr="004B7B0B">
        <w:rPr>
          <w:color w:val="0070C0"/>
          <w:highlight w:val="yellow"/>
        </w:rPr>
        <w:t>Standardized Access and Assessment</w:t>
      </w:r>
      <w:bookmarkEnd w:id="37"/>
      <w:bookmarkEnd w:id="38"/>
    </w:p>
    <w:p w14:paraId="103B01A1" w14:textId="77777777" w:rsidR="00AF7381" w:rsidRPr="00AF7381" w:rsidRDefault="00AF7381" w:rsidP="00AF7381">
      <w:pPr>
        <w:jc w:val="both"/>
        <w:rPr>
          <w:highlight w:val="yellow"/>
        </w:rPr>
      </w:pPr>
      <w:r w:rsidRPr="00AF7381">
        <w:rPr>
          <w:highlight w:val="yellow"/>
        </w:rPr>
        <w:t xml:space="preserve">The coordinated entry process uses the same assessment process at all access points.  However, among the multiple access points, the CSCoC designates separate access points for all households within the given subpopulations identified below (the same assessment </w:t>
      </w:r>
      <w:r w:rsidRPr="00AF7381">
        <w:rPr>
          <w:highlight w:val="yellow"/>
        </w:rPr>
        <w:lastRenderedPageBreak/>
        <w:t xml:space="preserve">process is used at each access point).  Only the following five (5) subpopulations have access points that are separate and distinct from the general access points: </w:t>
      </w:r>
    </w:p>
    <w:p w14:paraId="42BA2A4C" w14:textId="77777777" w:rsidR="00AF7381" w:rsidRPr="00AF7381" w:rsidRDefault="00AF7381">
      <w:pPr>
        <w:pStyle w:val="ListParagraph"/>
        <w:numPr>
          <w:ilvl w:val="0"/>
          <w:numId w:val="153"/>
        </w:numPr>
        <w:spacing w:after="120"/>
        <w:contextualSpacing w:val="0"/>
        <w:rPr>
          <w:highlight w:val="yellow"/>
        </w:rPr>
      </w:pPr>
      <w:r w:rsidRPr="00AF7381">
        <w:rPr>
          <w:highlight w:val="yellow"/>
        </w:rPr>
        <w:t>Adults without children</w:t>
      </w:r>
    </w:p>
    <w:p w14:paraId="7AF570E9" w14:textId="77777777" w:rsidR="00AF7381" w:rsidRPr="00AF7381" w:rsidRDefault="00AF7381">
      <w:pPr>
        <w:pStyle w:val="ListParagraph"/>
        <w:numPr>
          <w:ilvl w:val="0"/>
          <w:numId w:val="153"/>
        </w:numPr>
        <w:spacing w:after="120"/>
        <w:contextualSpacing w:val="0"/>
        <w:rPr>
          <w:highlight w:val="yellow"/>
        </w:rPr>
      </w:pPr>
      <w:r w:rsidRPr="00AF7381">
        <w:rPr>
          <w:highlight w:val="yellow"/>
        </w:rPr>
        <w:t>Adults accompanied by children</w:t>
      </w:r>
    </w:p>
    <w:p w14:paraId="34F9898A" w14:textId="77777777" w:rsidR="00AF7381" w:rsidRPr="00AF7381" w:rsidRDefault="00AF7381">
      <w:pPr>
        <w:pStyle w:val="ListParagraph"/>
        <w:numPr>
          <w:ilvl w:val="0"/>
          <w:numId w:val="153"/>
        </w:numPr>
        <w:spacing w:after="120"/>
        <w:contextualSpacing w:val="0"/>
        <w:rPr>
          <w:highlight w:val="yellow"/>
        </w:rPr>
      </w:pPr>
      <w:r w:rsidRPr="00AF7381">
        <w:rPr>
          <w:highlight w:val="yellow"/>
        </w:rPr>
        <w:t>Unaccompanied youth</w:t>
      </w:r>
    </w:p>
    <w:p w14:paraId="641E4660" w14:textId="77777777" w:rsidR="00AF7381" w:rsidRPr="00AF7381" w:rsidRDefault="00AF7381">
      <w:pPr>
        <w:pStyle w:val="ListParagraph"/>
        <w:numPr>
          <w:ilvl w:val="0"/>
          <w:numId w:val="153"/>
        </w:numPr>
        <w:spacing w:after="120"/>
        <w:contextualSpacing w:val="0"/>
        <w:rPr>
          <w:highlight w:val="yellow"/>
        </w:rPr>
      </w:pPr>
      <w:r w:rsidRPr="00AF7381">
        <w:rPr>
          <w:highlight w:val="yellow"/>
        </w:rPr>
        <w:t xml:space="preserve">Households fleeing, or attempting to flee, domestic violence, dating violence, sexual assault, stalking, or other dangerous or life-threatening conditions </w:t>
      </w:r>
      <w:r w:rsidRPr="00AF7381">
        <w:rPr>
          <w:highlight w:val="yellow"/>
        </w:rPr>
        <w:br/>
        <w:t>(including human trafficking)</w:t>
      </w:r>
    </w:p>
    <w:p w14:paraId="787EC982" w14:textId="77777777" w:rsidR="00AF7381" w:rsidRPr="00AF7381" w:rsidRDefault="00AF7381">
      <w:pPr>
        <w:pStyle w:val="ListParagraph"/>
        <w:numPr>
          <w:ilvl w:val="0"/>
          <w:numId w:val="153"/>
        </w:numPr>
        <w:contextualSpacing w:val="0"/>
        <w:rPr>
          <w:highlight w:val="yellow"/>
        </w:rPr>
      </w:pPr>
      <w:r w:rsidRPr="00AF7381">
        <w:rPr>
          <w:highlight w:val="yellow"/>
        </w:rPr>
        <w:t>Households at imminent risk of literal homelessness, for purposes of administering homelessness prevention assistance.</w:t>
      </w:r>
    </w:p>
    <w:p w14:paraId="33056B00" w14:textId="77777777" w:rsidR="00AF7381" w:rsidRPr="00AF7381" w:rsidRDefault="00AF7381" w:rsidP="00AF7381">
      <w:pPr>
        <w:pStyle w:val="ListParagraph"/>
        <w:contextualSpacing w:val="0"/>
        <w:rPr>
          <w:highlight w:val="yellow"/>
        </w:rPr>
      </w:pPr>
    </w:p>
    <w:p w14:paraId="71E6B2B1" w14:textId="3DDB6868" w:rsidR="00AF7381" w:rsidRPr="00AF7381" w:rsidRDefault="00AF7381" w:rsidP="00AF7381">
      <w:pPr>
        <w:jc w:val="both"/>
        <w:rPr>
          <w:highlight w:val="yellow"/>
        </w:rPr>
      </w:pPr>
      <w:r w:rsidRPr="00AF7381">
        <w:rPr>
          <w:highlight w:val="yellow"/>
        </w:rPr>
        <w:t>HUD has partnered with the US Dept of Veterans Affairs to define designated access points for homeless veterans, where the access points are operated by VA or VA partners and the methods for providing access are documented in the</w:t>
      </w:r>
      <w:r w:rsidR="00CF123B">
        <w:rPr>
          <w:highlight w:val="yellow"/>
        </w:rPr>
        <w:t>se Written Standards</w:t>
      </w:r>
      <w:r w:rsidRPr="00AF7381">
        <w:rPr>
          <w:highlight w:val="yellow"/>
        </w:rPr>
        <w:t xml:space="preserve">. </w:t>
      </w:r>
    </w:p>
    <w:p w14:paraId="3A622C62" w14:textId="77777777" w:rsidR="00AF7381" w:rsidRPr="00AF7381" w:rsidRDefault="00AF7381" w:rsidP="00AF7381">
      <w:pPr>
        <w:jc w:val="both"/>
        <w:rPr>
          <w:highlight w:val="yellow"/>
        </w:rPr>
      </w:pPr>
      <w:r w:rsidRPr="00AF7381">
        <w:rPr>
          <w:highlight w:val="yellow"/>
        </w:rPr>
        <w:t xml:space="preserve">  </w:t>
      </w:r>
    </w:p>
    <w:p w14:paraId="634D7DA5" w14:textId="77777777" w:rsidR="00AF7381" w:rsidRPr="004B7B0B" w:rsidRDefault="00AF7381" w:rsidP="00AF7381">
      <w:pPr>
        <w:pStyle w:val="Heading2"/>
        <w:rPr>
          <w:color w:val="0070C0"/>
          <w:highlight w:val="yellow"/>
        </w:rPr>
      </w:pPr>
      <w:bookmarkStart w:id="39" w:name="_Toc34043186"/>
      <w:bookmarkStart w:id="40" w:name="_Toc124254987"/>
      <w:r w:rsidRPr="004B7B0B">
        <w:rPr>
          <w:color w:val="0070C0"/>
          <w:highlight w:val="yellow"/>
        </w:rPr>
        <w:t>Considerations for Separate Access Points</w:t>
      </w:r>
      <w:bookmarkEnd w:id="39"/>
      <w:bookmarkEnd w:id="40"/>
    </w:p>
    <w:p w14:paraId="2EDA1F2D" w14:textId="77777777" w:rsidR="00AF7381" w:rsidRPr="00AF7381" w:rsidRDefault="00AF7381" w:rsidP="00AF7381">
      <w:pPr>
        <w:jc w:val="both"/>
        <w:rPr>
          <w:highlight w:val="yellow"/>
        </w:rPr>
      </w:pPr>
      <w:r w:rsidRPr="00AF7381">
        <w:rPr>
          <w:highlight w:val="yellow"/>
        </w:rPr>
        <w:t>Different access points for those HUD-designated subpopulations have designated service provider conducting assessments in a culturally sensitive and informed manner but make referrals according to the written standards established by the CSCoC.</w:t>
      </w:r>
    </w:p>
    <w:p w14:paraId="00EABAF9" w14:textId="77777777" w:rsidR="00AF7381" w:rsidRPr="00AF7381" w:rsidRDefault="00AF7381" w:rsidP="00AF7381">
      <w:pPr>
        <w:jc w:val="both"/>
        <w:rPr>
          <w:highlight w:val="yellow"/>
        </w:rPr>
      </w:pPr>
    </w:p>
    <w:p w14:paraId="481389B8" w14:textId="77777777" w:rsidR="00AF7381" w:rsidRPr="00AF7381" w:rsidRDefault="00AF7381" w:rsidP="00AF7381">
      <w:pPr>
        <w:jc w:val="both"/>
        <w:rPr>
          <w:highlight w:val="yellow"/>
        </w:rPr>
      </w:pPr>
      <w:r w:rsidRPr="00AF7381">
        <w:rPr>
          <w:highlight w:val="yellow"/>
        </w:rPr>
        <w:t xml:space="preserve">CSCoC has pre-existing networks for subpopulation </w:t>
      </w:r>
      <w:proofErr w:type="gramStart"/>
      <w:r w:rsidRPr="00AF7381">
        <w:rPr>
          <w:highlight w:val="yellow"/>
        </w:rPr>
        <w:t>groups, and</w:t>
      </w:r>
      <w:proofErr w:type="gramEnd"/>
      <w:r w:rsidRPr="00AF7381">
        <w:rPr>
          <w:highlight w:val="yellow"/>
        </w:rPr>
        <w:t xml:space="preserve"> utilizes a partially separated coordinated entry process with a separate access point.  CSCoC policies and standards still apply.  Examples might be a youth drop-in center or a domestic violence hotline.  Multiple access points or methods (e.g., crisis hotline) can be safer for domestic violence survivors, as a single, well-known location can put them at risk.</w:t>
      </w:r>
    </w:p>
    <w:p w14:paraId="30973894" w14:textId="77777777" w:rsidR="00AF7381" w:rsidRPr="00AF7381" w:rsidRDefault="00AF7381" w:rsidP="00AF7381">
      <w:pPr>
        <w:jc w:val="both"/>
        <w:rPr>
          <w:highlight w:val="yellow"/>
        </w:rPr>
      </w:pPr>
    </w:p>
    <w:p w14:paraId="346257D0" w14:textId="77777777" w:rsidR="00AF7381" w:rsidRPr="00AF7381" w:rsidRDefault="00AF7381" w:rsidP="00AF7381">
      <w:pPr>
        <w:jc w:val="both"/>
        <w:rPr>
          <w:highlight w:val="yellow"/>
        </w:rPr>
      </w:pPr>
      <w:r w:rsidRPr="00AF7381">
        <w:rPr>
          <w:highlight w:val="yellow"/>
        </w:rPr>
        <w:t xml:space="preserve">CSCoC offers mobile access to households in subpopulations who might resist going to a centralized access point.  This mobile access is available through trained outreach service provider who are prepared to assess households in phases. </w:t>
      </w:r>
    </w:p>
    <w:p w14:paraId="3BCF9C6E" w14:textId="77777777" w:rsidR="00AF7381" w:rsidRPr="00AF7381" w:rsidRDefault="00AF7381" w:rsidP="00AF7381">
      <w:pPr>
        <w:jc w:val="both"/>
        <w:rPr>
          <w:highlight w:val="yellow"/>
        </w:rPr>
      </w:pPr>
      <w:r w:rsidRPr="00AF7381">
        <w:rPr>
          <w:highlight w:val="yellow"/>
        </w:rPr>
        <w:t xml:space="preserve"> </w:t>
      </w:r>
    </w:p>
    <w:p w14:paraId="26B107F2" w14:textId="77777777" w:rsidR="00AF7381" w:rsidRPr="00AF7381" w:rsidRDefault="00AF7381" w:rsidP="00AF7381">
      <w:pPr>
        <w:jc w:val="both"/>
        <w:rPr>
          <w:highlight w:val="yellow"/>
        </w:rPr>
      </w:pPr>
      <w:r w:rsidRPr="00AF7381">
        <w:rPr>
          <w:highlight w:val="yellow"/>
        </w:rPr>
        <w:t>Although the CSCoC uses standardized assessment tools across access points, the actual tools may be locally developed or selected from among the many publicly available tools.  Whatever tool is implemented, the language and questions in the assessment should be tailored accordingly (e.g., include questions about school enrollment for adults with children).</w:t>
      </w:r>
    </w:p>
    <w:p w14:paraId="708A9C8A" w14:textId="77777777" w:rsidR="00AF7381" w:rsidRPr="00AF7381" w:rsidRDefault="00AF7381" w:rsidP="00AF7381">
      <w:pPr>
        <w:jc w:val="both"/>
        <w:rPr>
          <w:highlight w:val="yellow"/>
        </w:rPr>
      </w:pPr>
    </w:p>
    <w:p w14:paraId="10A43ADE" w14:textId="77777777" w:rsidR="00AF7381" w:rsidRPr="00AF7381" w:rsidRDefault="00AF7381" w:rsidP="00AF7381">
      <w:pPr>
        <w:jc w:val="both"/>
        <w:rPr>
          <w:highlight w:val="yellow"/>
        </w:rPr>
      </w:pPr>
      <w:r w:rsidRPr="00AF7381">
        <w:rPr>
          <w:highlight w:val="yellow"/>
        </w:rPr>
        <w:t xml:space="preserve">A community-specific assessment tool is valid and reliable, and the assessment process only gathers information necessary to determine the household’s severity of need and potential match for housing and supportive services.  That is, the assessment can be conducted in phases, to capture information as needed and limit how frequently the household being assessed must repeat their personal story.  To illustrate, once the household is referred to housing and supportive services, project service provider may conduct more sophisticated </w:t>
      </w:r>
      <w:r w:rsidRPr="00AF7381">
        <w:rPr>
          <w:highlight w:val="yellow"/>
        </w:rPr>
        <w:lastRenderedPageBreak/>
        <w:t>assessments to evaluate that participant’s specialized needs.  This phased approach to assessment is intended not to replace more specialized assessments but rather to connect households to the appropriate housing solution as quickly as possible.</w:t>
      </w:r>
    </w:p>
    <w:p w14:paraId="07731D4F" w14:textId="77777777" w:rsidR="00AF7381" w:rsidRPr="00AF7381" w:rsidRDefault="00AF7381" w:rsidP="00AF7381">
      <w:pPr>
        <w:jc w:val="both"/>
        <w:rPr>
          <w:highlight w:val="yellow"/>
        </w:rPr>
      </w:pPr>
    </w:p>
    <w:p w14:paraId="66381E30" w14:textId="77777777" w:rsidR="00AF7381" w:rsidRPr="00AF7381" w:rsidRDefault="00AF7381" w:rsidP="00AF7381">
      <w:pPr>
        <w:jc w:val="both"/>
        <w:rPr>
          <w:highlight w:val="yellow"/>
        </w:rPr>
      </w:pPr>
      <w:r w:rsidRPr="00AF7381">
        <w:rPr>
          <w:highlight w:val="yellow"/>
        </w:rPr>
        <w:t xml:space="preserve">Assessment tools are customized to reflect an assessment approach and prioritization process specific to each subpopulation.  For example, one assessment tool may be established for all youth, another for all families, and still another for single adults.  Or a CoC might have a single tool that is used consistently across all subpopulations.  Either approach is acceptable.  The goal is to ensure common prioritization approaches across subpopulations.  </w:t>
      </w:r>
    </w:p>
    <w:p w14:paraId="11EB0403" w14:textId="77777777" w:rsidR="00AF7381" w:rsidRPr="00AF7381" w:rsidRDefault="00AF7381" w:rsidP="00AF7381">
      <w:pPr>
        <w:jc w:val="both"/>
        <w:rPr>
          <w:highlight w:val="yellow"/>
        </w:rPr>
      </w:pPr>
      <w:r w:rsidRPr="00AF7381">
        <w:rPr>
          <w:highlight w:val="yellow"/>
        </w:rPr>
        <w:t xml:space="preserve">  </w:t>
      </w:r>
    </w:p>
    <w:p w14:paraId="0005A223" w14:textId="77777777" w:rsidR="00AF7381" w:rsidRPr="00AF7381" w:rsidRDefault="00AF7381" w:rsidP="00AF7381">
      <w:pPr>
        <w:jc w:val="both"/>
        <w:rPr>
          <w:highlight w:val="yellow"/>
        </w:rPr>
      </w:pPr>
      <w:r w:rsidRPr="00AF7381">
        <w:rPr>
          <w:highlight w:val="yellow"/>
        </w:rPr>
        <w:t xml:space="preserve">Information from the assessment is used to determine which housing intervention is best suited to end the household’s homelessness: </w:t>
      </w:r>
    </w:p>
    <w:p w14:paraId="7329D148" w14:textId="77777777" w:rsidR="00AF7381" w:rsidRPr="00AF7381" w:rsidRDefault="00AF7381" w:rsidP="00AF7381">
      <w:pPr>
        <w:jc w:val="both"/>
        <w:rPr>
          <w:highlight w:val="yellow"/>
        </w:rPr>
      </w:pPr>
    </w:p>
    <w:p w14:paraId="264EBCAF" w14:textId="77777777" w:rsidR="00AF7381" w:rsidRPr="00AF7381" w:rsidRDefault="00AF7381" w:rsidP="00AF7381">
      <w:pPr>
        <w:rPr>
          <w:highlight w:val="yellow"/>
          <w:u w:val="single"/>
        </w:rPr>
      </w:pPr>
      <w:r w:rsidRPr="00AF7381">
        <w:rPr>
          <w:highlight w:val="yellow"/>
          <w:u w:val="single"/>
        </w:rPr>
        <w:t xml:space="preserve">Permanent Supportive Housing </w:t>
      </w:r>
    </w:p>
    <w:p w14:paraId="35A93AD9" w14:textId="77777777" w:rsidR="00AF7381" w:rsidRPr="00AF7381" w:rsidRDefault="00AF7381" w:rsidP="00AF7381">
      <w:pPr>
        <w:jc w:val="both"/>
        <w:rPr>
          <w:highlight w:val="yellow"/>
        </w:rPr>
      </w:pPr>
      <w:r w:rsidRPr="00AF7381">
        <w:rPr>
          <w:highlight w:val="yellow"/>
        </w:rPr>
        <w:t>Referrals to PSH only come through CES.  When a vacancy occurs, households are prioritized as follows:</w:t>
      </w:r>
    </w:p>
    <w:p w14:paraId="3843764B" w14:textId="77777777" w:rsidR="00AF7381" w:rsidRPr="00AF7381" w:rsidRDefault="00AF7381">
      <w:pPr>
        <w:pStyle w:val="ListParagraph"/>
        <w:numPr>
          <w:ilvl w:val="0"/>
          <w:numId w:val="154"/>
        </w:numPr>
        <w:spacing w:after="120"/>
        <w:contextualSpacing w:val="0"/>
        <w:jc w:val="both"/>
        <w:rPr>
          <w:highlight w:val="yellow"/>
        </w:rPr>
      </w:pPr>
      <w:r w:rsidRPr="00AF7381">
        <w:rPr>
          <w:highlight w:val="yellow"/>
        </w:rPr>
        <w:t>Households meeting the HUD definition of chronic homeless receive priority, based on the length of time they have resided in a place not meant for human habitation, a safe haven, or an emergency shelter, and the severity of the household’s service needs as determined by the CES assessment tool.</w:t>
      </w:r>
    </w:p>
    <w:p w14:paraId="0F1DDE76" w14:textId="77777777" w:rsidR="00AF7381" w:rsidRPr="00AF7381" w:rsidRDefault="00AF7381">
      <w:pPr>
        <w:pStyle w:val="ListParagraph"/>
        <w:numPr>
          <w:ilvl w:val="0"/>
          <w:numId w:val="154"/>
        </w:numPr>
        <w:spacing w:after="120"/>
        <w:contextualSpacing w:val="0"/>
        <w:jc w:val="both"/>
        <w:rPr>
          <w:highlight w:val="yellow"/>
        </w:rPr>
      </w:pPr>
      <w:r w:rsidRPr="00AF7381">
        <w:rPr>
          <w:highlight w:val="yellow"/>
        </w:rPr>
        <w:t>If no chronically homeless households are on the list, then the order of priority is as follows:</w:t>
      </w:r>
    </w:p>
    <w:p w14:paraId="07EC05B9" w14:textId="77777777" w:rsidR="00AF7381" w:rsidRPr="00AF7381" w:rsidRDefault="00AF7381">
      <w:pPr>
        <w:pStyle w:val="ListParagraph"/>
        <w:numPr>
          <w:ilvl w:val="1"/>
          <w:numId w:val="154"/>
        </w:numPr>
        <w:spacing w:after="120"/>
        <w:contextualSpacing w:val="0"/>
        <w:jc w:val="both"/>
        <w:rPr>
          <w:highlight w:val="yellow"/>
        </w:rPr>
      </w:pPr>
      <w:r w:rsidRPr="00AF7381">
        <w:rPr>
          <w:highlight w:val="yellow"/>
        </w:rPr>
        <w:t>Homeless households with a disability with long periods of episodic homelessness and severe service needs.</w:t>
      </w:r>
    </w:p>
    <w:p w14:paraId="04A44E2C" w14:textId="77777777" w:rsidR="00AF7381" w:rsidRPr="00AF7381" w:rsidRDefault="00AF7381">
      <w:pPr>
        <w:pStyle w:val="ListParagraph"/>
        <w:numPr>
          <w:ilvl w:val="1"/>
          <w:numId w:val="154"/>
        </w:numPr>
        <w:spacing w:after="120"/>
        <w:contextualSpacing w:val="0"/>
        <w:jc w:val="both"/>
        <w:rPr>
          <w:highlight w:val="yellow"/>
        </w:rPr>
      </w:pPr>
      <w:r w:rsidRPr="00AF7381">
        <w:rPr>
          <w:highlight w:val="yellow"/>
        </w:rPr>
        <w:t>Homeless households with a disability and severe service needs.</w:t>
      </w:r>
    </w:p>
    <w:p w14:paraId="2E5797CC" w14:textId="77777777" w:rsidR="00AF7381" w:rsidRPr="00AF7381" w:rsidRDefault="00AF7381">
      <w:pPr>
        <w:pStyle w:val="ListParagraph"/>
        <w:numPr>
          <w:ilvl w:val="1"/>
          <w:numId w:val="154"/>
        </w:numPr>
        <w:spacing w:after="120"/>
        <w:contextualSpacing w:val="0"/>
        <w:jc w:val="both"/>
        <w:rPr>
          <w:highlight w:val="yellow"/>
        </w:rPr>
      </w:pPr>
      <w:r w:rsidRPr="00AF7381">
        <w:rPr>
          <w:highlight w:val="yellow"/>
        </w:rPr>
        <w:t>Homeless households with a disability coming from places not meant for human habitation, safe havens, or emergency shelter without severe service needs.</w:t>
      </w:r>
    </w:p>
    <w:p w14:paraId="71672E38" w14:textId="77777777" w:rsidR="00AF7381" w:rsidRPr="00AF7381" w:rsidRDefault="00AF7381">
      <w:pPr>
        <w:pStyle w:val="ListParagraph"/>
        <w:numPr>
          <w:ilvl w:val="1"/>
          <w:numId w:val="154"/>
        </w:numPr>
        <w:spacing w:after="120"/>
        <w:contextualSpacing w:val="0"/>
        <w:jc w:val="both"/>
        <w:rPr>
          <w:highlight w:val="yellow"/>
        </w:rPr>
      </w:pPr>
      <w:r w:rsidRPr="00AF7381">
        <w:rPr>
          <w:highlight w:val="yellow"/>
        </w:rPr>
        <w:t>Homeless households with a disability coming from transitional housing.</w:t>
      </w:r>
    </w:p>
    <w:p w14:paraId="1E6514A1" w14:textId="77777777" w:rsidR="00AF7381" w:rsidRPr="00AF7381" w:rsidRDefault="00AF7381" w:rsidP="00AF7381">
      <w:pPr>
        <w:spacing w:before="240"/>
        <w:rPr>
          <w:highlight w:val="yellow"/>
          <w:u w:val="single"/>
        </w:rPr>
      </w:pPr>
      <w:r w:rsidRPr="00AF7381">
        <w:rPr>
          <w:highlight w:val="yellow"/>
          <w:u w:val="single"/>
        </w:rPr>
        <w:t>Homeless Prevention</w:t>
      </w:r>
    </w:p>
    <w:p w14:paraId="5A89136F" w14:textId="77777777" w:rsidR="00AF7381" w:rsidRPr="00AF7381" w:rsidRDefault="00AF7381">
      <w:pPr>
        <w:pStyle w:val="ListParagraph"/>
        <w:numPr>
          <w:ilvl w:val="0"/>
          <w:numId w:val="154"/>
        </w:numPr>
        <w:spacing w:after="120"/>
        <w:contextualSpacing w:val="0"/>
        <w:rPr>
          <w:highlight w:val="yellow"/>
        </w:rPr>
      </w:pPr>
      <w:r w:rsidRPr="00AF7381">
        <w:rPr>
          <w:highlight w:val="yellow"/>
        </w:rPr>
        <w:t>Rapid Re-housing (RRH)</w:t>
      </w:r>
    </w:p>
    <w:p w14:paraId="57BB6051" w14:textId="77777777" w:rsidR="00AF7381" w:rsidRPr="00AF7381" w:rsidRDefault="00AF7381" w:rsidP="00AF7381">
      <w:pPr>
        <w:jc w:val="both"/>
        <w:rPr>
          <w:highlight w:val="yellow"/>
        </w:rPr>
      </w:pPr>
      <w:r w:rsidRPr="00AF7381">
        <w:rPr>
          <w:highlight w:val="yellow"/>
        </w:rPr>
        <w:t>When PSH is not immediately available, households seeking these resources are connected with local HUB stations to be assisted in identifying more readily available housing options.  All access points use the same process for CES, intake, assessment and referral.  Households identified as chronically homeless, but served with RRH at the time, maintain their chronic status and must be identified in CES a second time for placement and prioritization.</w:t>
      </w:r>
    </w:p>
    <w:p w14:paraId="4A6AD8D8" w14:textId="77777777" w:rsidR="00AF7381" w:rsidRPr="00AF7381" w:rsidRDefault="00AF7381">
      <w:pPr>
        <w:pStyle w:val="ListParagraph"/>
        <w:numPr>
          <w:ilvl w:val="0"/>
          <w:numId w:val="154"/>
        </w:numPr>
        <w:spacing w:after="120"/>
        <w:contextualSpacing w:val="0"/>
        <w:rPr>
          <w:highlight w:val="yellow"/>
        </w:rPr>
      </w:pPr>
      <w:r w:rsidRPr="00AF7381">
        <w:rPr>
          <w:highlight w:val="yellow"/>
        </w:rPr>
        <w:t>Shelter Referral</w:t>
      </w:r>
    </w:p>
    <w:p w14:paraId="000DB302" w14:textId="77777777" w:rsidR="00AF7381" w:rsidRPr="00AF7381" w:rsidRDefault="00AF7381" w:rsidP="00AF7381">
      <w:pPr>
        <w:jc w:val="both"/>
        <w:rPr>
          <w:highlight w:val="yellow"/>
        </w:rPr>
      </w:pPr>
      <w:r w:rsidRPr="00AF7381">
        <w:rPr>
          <w:highlight w:val="yellow"/>
        </w:rPr>
        <w:t xml:space="preserve">Service providers may also refer households to additional housing programs available in the service area that are not funded by, or do not currently participate in, the CES.  The referral process may be shared electronically via fax for programs not participating in the CES.  </w:t>
      </w:r>
    </w:p>
    <w:p w14:paraId="289913B8" w14:textId="77777777" w:rsidR="00AF7381" w:rsidRPr="00AF7381" w:rsidRDefault="00AF7381" w:rsidP="00AF7381">
      <w:pPr>
        <w:jc w:val="both"/>
        <w:rPr>
          <w:highlight w:val="yellow"/>
        </w:rPr>
      </w:pPr>
    </w:p>
    <w:p w14:paraId="139631F8" w14:textId="77777777" w:rsidR="00AF7381" w:rsidRPr="00AF7381" w:rsidRDefault="00AF7381" w:rsidP="00AF7381">
      <w:pPr>
        <w:jc w:val="both"/>
        <w:rPr>
          <w:highlight w:val="yellow"/>
        </w:rPr>
      </w:pPr>
      <w:r w:rsidRPr="00AF7381">
        <w:rPr>
          <w:highlight w:val="yellow"/>
        </w:rPr>
        <w:lastRenderedPageBreak/>
        <w:t>PSH is almost always the most effective resource for highly vulnerable households with high service needs, including those experiencing chronic homelessness.  But the lack of available PSH, for example, should not result in households languishing in shelters or on the streets without other assistance.  If no PSH resources are available, the highest need or highest prioritized households shall be offered other appropriate resources available.  The CSCoC applies this dynamic approach to inventory monitoring and referral management to all its component types, including TH and RRH.</w:t>
      </w:r>
    </w:p>
    <w:p w14:paraId="0407BA15" w14:textId="77777777" w:rsidR="00AF7381" w:rsidRPr="00AF7381" w:rsidRDefault="00AF7381" w:rsidP="00AF7381">
      <w:pPr>
        <w:jc w:val="both"/>
        <w:rPr>
          <w:b/>
          <w:bCs/>
          <w:highlight w:val="yellow"/>
        </w:rPr>
      </w:pPr>
    </w:p>
    <w:p w14:paraId="377A79F1" w14:textId="77777777" w:rsidR="00AF7381" w:rsidRPr="004B7B0B" w:rsidRDefault="00AF7381" w:rsidP="00AF7381">
      <w:pPr>
        <w:pStyle w:val="Heading2"/>
        <w:spacing w:before="0"/>
        <w:rPr>
          <w:color w:val="0070C0"/>
        </w:rPr>
      </w:pPr>
      <w:bookmarkStart w:id="41" w:name="_Toc34043187"/>
      <w:bookmarkStart w:id="42" w:name="_Toc124254988"/>
      <w:r w:rsidRPr="004B7B0B">
        <w:rPr>
          <w:color w:val="0070C0"/>
          <w:highlight w:val="yellow"/>
        </w:rPr>
        <w:t>Privacy</w:t>
      </w:r>
      <w:bookmarkEnd w:id="41"/>
      <w:bookmarkEnd w:id="42"/>
    </w:p>
    <w:p w14:paraId="70A4E2DF" w14:textId="216CCE6A" w:rsidR="00AF7381" w:rsidRPr="00AF7381" w:rsidRDefault="00AF7381" w:rsidP="00AF7381">
      <w:pPr>
        <w:jc w:val="both"/>
        <w:rPr>
          <w:highlight w:val="yellow"/>
        </w:rPr>
      </w:pPr>
      <w:r w:rsidRPr="00AF7381">
        <w:rPr>
          <w:highlight w:val="yellow"/>
        </w:rPr>
        <w:t xml:space="preserve">All service providers working with household-level data shall abide by the privacy protocols prescribed by the CSCoC HMIS </w:t>
      </w:r>
      <w:r w:rsidR="00CF123B">
        <w:rPr>
          <w:highlight w:val="yellow"/>
        </w:rPr>
        <w:t>Po</w:t>
      </w:r>
      <w:r w:rsidRPr="00AF7381">
        <w:rPr>
          <w:highlight w:val="yellow"/>
        </w:rPr>
        <w:t>licies and Procedures Manual.</w:t>
      </w:r>
    </w:p>
    <w:p w14:paraId="2785735A" w14:textId="77777777" w:rsidR="00AF7381" w:rsidRPr="004B7B0B" w:rsidRDefault="00AF7381" w:rsidP="00AF7381">
      <w:pPr>
        <w:pStyle w:val="Heading2"/>
        <w:rPr>
          <w:color w:val="0070C0"/>
          <w:highlight w:val="yellow"/>
        </w:rPr>
      </w:pPr>
      <w:bookmarkStart w:id="43" w:name="_Toc34043188"/>
      <w:bookmarkStart w:id="44" w:name="_Toc124254989"/>
      <w:r w:rsidRPr="004B7B0B">
        <w:rPr>
          <w:color w:val="0070C0"/>
          <w:highlight w:val="yellow"/>
        </w:rPr>
        <w:t>Entry Points – Operational and Programmatic Practices</w:t>
      </w:r>
      <w:bookmarkEnd w:id="43"/>
      <w:bookmarkEnd w:id="44"/>
    </w:p>
    <w:p w14:paraId="45A70FAC" w14:textId="7050B9E1" w:rsidR="00AF7381" w:rsidRPr="00AF7381" w:rsidRDefault="00AF7381" w:rsidP="00AF7381">
      <w:pPr>
        <w:jc w:val="both"/>
        <w:rPr>
          <w:highlight w:val="yellow"/>
        </w:rPr>
      </w:pPr>
      <w:r w:rsidRPr="00AF7381">
        <w:rPr>
          <w:highlight w:val="yellow"/>
        </w:rPr>
        <w:t xml:space="preserve">The Coordinated Entry System Operator shall maintain and update binders for all entry points that detail all operational and programmatic practices every entry point should be following.  The protocols and federal notices and forms included in these binders shall be incorporated by reference </w:t>
      </w:r>
      <w:r w:rsidR="00CF123B">
        <w:rPr>
          <w:highlight w:val="yellow"/>
        </w:rPr>
        <w:t xml:space="preserve">and </w:t>
      </w:r>
      <w:r w:rsidRPr="00AF7381">
        <w:rPr>
          <w:highlight w:val="yellow"/>
        </w:rPr>
        <w:t>include:</w:t>
      </w:r>
    </w:p>
    <w:p w14:paraId="351125DF" w14:textId="77777777" w:rsidR="00AF7381" w:rsidRPr="00AF7381" w:rsidRDefault="00AF7381">
      <w:pPr>
        <w:pStyle w:val="ListParagraph"/>
        <w:numPr>
          <w:ilvl w:val="0"/>
          <w:numId w:val="155"/>
        </w:numPr>
        <w:spacing w:after="120"/>
        <w:contextualSpacing w:val="0"/>
        <w:rPr>
          <w:highlight w:val="yellow"/>
        </w:rPr>
      </w:pPr>
      <w:r w:rsidRPr="00AF7381">
        <w:rPr>
          <w:highlight w:val="yellow"/>
        </w:rPr>
        <w:t>Fair Housing Amendments Act of 1988 Notice (Attachment B);</w:t>
      </w:r>
    </w:p>
    <w:p w14:paraId="6DE698DA" w14:textId="77777777" w:rsidR="00AF7381" w:rsidRPr="00AF7381" w:rsidRDefault="00AF7381">
      <w:pPr>
        <w:pStyle w:val="ListParagraph"/>
        <w:numPr>
          <w:ilvl w:val="0"/>
          <w:numId w:val="155"/>
        </w:numPr>
        <w:spacing w:after="120"/>
        <w:contextualSpacing w:val="0"/>
        <w:rPr>
          <w:highlight w:val="yellow"/>
        </w:rPr>
      </w:pPr>
      <w:r w:rsidRPr="00AF7381">
        <w:rPr>
          <w:highlight w:val="yellow"/>
        </w:rPr>
        <w:t>Right to File Discriminations Complaints Notice and Form (Attachment C)</w:t>
      </w:r>
    </w:p>
    <w:p w14:paraId="4282CFEB" w14:textId="77777777" w:rsidR="00AF7381" w:rsidRPr="00AF7381" w:rsidRDefault="00AF7381">
      <w:pPr>
        <w:pStyle w:val="ListParagraph"/>
        <w:numPr>
          <w:ilvl w:val="0"/>
          <w:numId w:val="155"/>
        </w:numPr>
        <w:spacing w:after="120"/>
        <w:contextualSpacing w:val="0"/>
        <w:rPr>
          <w:highlight w:val="yellow"/>
        </w:rPr>
      </w:pPr>
      <w:r w:rsidRPr="00AF7381">
        <w:rPr>
          <w:highlight w:val="yellow"/>
        </w:rPr>
        <w:t xml:space="preserve">Emergency Transfer Plan for Victims of Domestic Violence, Dating Violence, Sexual Assault, or Stalking (Attachment D); and </w:t>
      </w:r>
    </w:p>
    <w:p w14:paraId="2F6F336D" w14:textId="77777777" w:rsidR="00AF7381" w:rsidRPr="00AF7381" w:rsidRDefault="00AF7381">
      <w:pPr>
        <w:pStyle w:val="ListParagraph"/>
        <w:numPr>
          <w:ilvl w:val="0"/>
          <w:numId w:val="155"/>
        </w:numPr>
        <w:contextualSpacing w:val="0"/>
        <w:rPr>
          <w:highlight w:val="yellow"/>
        </w:rPr>
      </w:pPr>
      <w:r w:rsidRPr="00AF7381">
        <w:rPr>
          <w:highlight w:val="yellow"/>
        </w:rPr>
        <w:t>Emergency Transfer Request Form for Certain Victims of Domestic Violence, Sexual Assault, or Stalking (Attachment E).</w:t>
      </w:r>
    </w:p>
    <w:p w14:paraId="5814BA42" w14:textId="77777777" w:rsidR="00AF7381" w:rsidRPr="00AF7381" w:rsidRDefault="00AF7381" w:rsidP="00AF7381">
      <w:pPr>
        <w:pStyle w:val="ListParagraph"/>
        <w:contextualSpacing w:val="0"/>
        <w:rPr>
          <w:highlight w:val="yellow"/>
        </w:rPr>
      </w:pPr>
    </w:p>
    <w:p w14:paraId="2E3A51C4" w14:textId="77777777" w:rsidR="00AF7381" w:rsidRPr="00AF7381" w:rsidRDefault="00AF7381" w:rsidP="00AF7381">
      <w:pPr>
        <w:jc w:val="both"/>
        <w:rPr>
          <w:highlight w:val="yellow"/>
        </w:rPr>
      </w:pPr>
      <w:r w:rsidRPr="00AF7381">
        <w:rPr>
          <w:highlight w:val="yellow"/>
        </w:rPr>
        <w:t>As the initial point of contact for households in the CES, service providers serving as access points are likely to be questioned by households as to their status on the prioritization list and when they may be referred to housing.  In these instances, all service providers should be able to check the CES to determine whether the household has a recent completed Housing Assessment.  If so, the service provider may confirm that the household is current in the system and will be contacted when appropriate housing or services become available.  If the Housing Assessment is not recent, the service provider may assist the household to update their assessment.  If no assessment is found for the household in CES, the service provider may work with the household to complete a standard intake and Housing Assessment.</w:t>
      </w:r>
    </w:p>
    <w:p w14:paraId="0E5F933D" w14:textId="77777777" w:rsidR="00AF7381" w:rsidRPr="00AF7381" w:rsidRDefault="00AF7381" w:rsidP="00AF7381">
      <w:pPr>
        <w:jc w:val="both"/>
        <w:rPr>
          <w:highlight w:val="yellow"/>
        </w:rPr>
      </w:pPr>
    </w:p>
    <w:p w14:paraId="03A04622" w14:textId="77777777" w:rsidR="00AF7381" w:rsidRPr="00AF7381" w:rsidRDefault="00AF7381" w:rsidP="00AF7381">
      <w:pPr>
        <w:jc w:val="both"/>
        <w:rPr>
          <w:highlight w:val="yellow"/>
        </w:rPr>
      </w:pPr>
      <w:r w:rsidRPr="00AF7381">
        <w:rPr>
          <w:highlight w:val="yellow"/>
          <w:u w:val="single"/>
        </w:rPr>
        <w:t>Service providers are NOT permitted to inform a household of their number or placement on the prioritization list; this placement may change frequently as new assessments are entered into the system and triaged</w:t>
      </w:r>
      <w:r w:rsidRPr="00AF7381">
        <w:rPr>
          <w:highlight w:val="yellow"/>
        </w:rPr>
        <w:t xml:space="preserve">. </w:t>
      </w:r>
    </w:p>
    <w:p w14:paraId="36AF37F4" w14:textId="7C4121AD" w:rsidR="00AF7381" w:rsidRDefault="00AF7381" w:rsidP="00AF7381">
      <w:pPr>
        <w:jc w:val="both"/>
        <w:rPr>
          <w:highlight w:val="yellow"/>
        </w:rPr>
      </w:pPr>
      <w:r w:rsidRPr="00AF7381">
        <w:rPr>
          <w:highlight w:val="yellow"/>
        </w:rPr>
        <w:t xml:space="preserve"> </w:t>
      </w:r>
    </w:p>
    <w:p w14:paraId="69B5E82D" w14:textId="0298E9C8" w:rsidR="00F90BC7" w:rsidRDefault="00F90BC7" w:rsidP="00AF7381">
      <w:pPr>
        <w:jc w:val="both"/>
        <w:rPr>
          <w:highlight w:val="yellow"/>
        </w:rPr>
      </w:pPr>
    </w:p>
    <w:p w14:paraId="3F4D528E" w14:textId="77777777" w:rsidR="00F90BC7" w:rsidRPr="00AF7381" w:rsidRDefault="00F90BC7" w:rsidP="00AF7381">
      <w:pPr>
        <w:jc w:val="both"/>
        <w:rPr>
          <w:highlight w:val="yellow"/>
        </w:rPr>
      </w:pPr>
    </w:p>
    <w:p w14:paraId="7B026EEB" w14:textId="77777777" w:rsidR="00AF7381" w:rsidRPr="004B7B0B" w:rsidRDefault="00AF7381" w:rsidP="00AF7381">
      <w:pPr>
        <w:pStyle w:val="Heading2"/>
        <w:rPr>
          <w:color w:val="0070C0"/>
          <w:highlight w:val="yellow"/>
        </w:rPr>
      </w:pPr>
      <w:bookmarkStart w:id="45" w:name="_Toc34043189"/>
      <w:bookmarkStart w:id="46" w:name="_Toc124254990"/>
      <w:r w:rsidRPr="004B7B0B">
        <w:rPr>
          <w:color w:val="0070C0"/>
          <w:highlight w:val="yellow"/>
        </w:rPr>
        <w:lastRenderedPageBreak/>
        <w:t>Pre-screening questions</w:t>
      </w:r>
      <w:bookmarkEnd w:id="45"/>
      <w:bookmarkEnd w:id="46"/>
    </w:p>
    <w:p w14:paraId="27662110" w14:textId="77777777" w:rsidR="00AF7381" w:rsidRPr="00AF7381" w:rsidRDefault="00AF7381" w:rsidP="00AF7381">
      <w:pPr>
        <w:jc w:val="both"/>
        <w:rPr>
          <w:highlight w:val="yellow"/>
        </w:rPr>
      </w:pPr>
      <w:r w:rsidRPr="00AF7381">
        <w:rPr>
          <w:highlight w:val="yellow"/>
        </w:rPr>
        <w:t>Individual CSCoC projects have ultimate responsibility  for determining the eligibility of prospective participants in their programs and for collecting and maintaining eligibility documentation.  From a practical perspective, however, the coordinated entry process is well positioned to screen preliminarily for presumptive eligibility.  Presumptive eligibility screening is often necessary to inform a referral process that adequately considers the likelihood of a prospective participant’s eligibility before making a referral.  If funders institute their own prioritization standards and preferences, the CSCoC coordinated entry process must accommodate these potential differences at the point of referral.</w:t>
      </w:r>
    </w:p>
    <w:p w14:paraId="140F27AD" w14:textId="77777777" w:rsidR="00AF7381" w:rsidRPr="00AF7381" w:rsidRDefault="00AF7381" w:rsidP="00AF7381">
      <w:pPr>
        <w:jc w:val="both"/>
        <w:rPr>
          <w:highlight w:val="yellow"/>
        </w:rPr>
      </w:pPr>
    </w:p>
    <w:p w14:paraId="2471C88E" w14:textId="77777777" w:rsidR="00AF7381" w:rsidRPr="00AF7381" w:rsidRDefault="00AF7381" w:rsidP="00AF7381">
      <w:pPr>
        <w:jc w:val="both"/>
        <w:rPr>
          <w:highlight w:val="yellow"/>
        </w:rPr>
      </w:pPr>
      <w:r w:rsidRPr="00AF7381">
        <w:rPr>
          <w:highlight w:val="yellow"/>
        </w:rPr>
        <w:t>Upon first contact, entry point service provider shall ask households the following four questions to determine homelessness status and identify any urgent safety concerns:</w:t>
      </w:r>
    </w:p>
    <w:p w14:paraId="3C27A59C" w14:textId="77777777" w:rsidR="00AF7381" w:rsidRPr="00AF7381" w:rsidRDefault="00AF7381">
      <w:pPr>
        <w:pStyle w:val="ListParagraph"/>
        <w:numPr>
          <w:ilvl w:val="0"/>
          <w:numId w:val="156"/>
        </w:numPr>
        <w:spacing w:after="120"/>
        <w:contextualSpacing w:val="0"/>
        <w:rPr>
          <w:highlight w:val="yellow"/>
        </w:rPr>
      </w:pPr>
      <w:r w:rsidRPr="00AF7381">
        <w:rPr>
          <w:highlight w:val="yellow"/>
        </w:rPr>
        <w:t>Can you please tell me where you slept last night?</w:t>
      </w:r>
    </w:p>
    <w:p w14:paraId="58092A16" w14:textId="77777777" w:rsidR="00AF7381" w:rsidRPr="00AF7381" w:rsidRDefault="00AF7381">
      <w:pPr>
        <w:pStyle w:val="ListParagraph"/>
        <w:numPr>
          <w:ilvl w:val="0"/>
          <w:numId w:val="156"/>
        </w:numPr>
        <w:spacing w:after="120"/>
        <w:contextualSpacing w:val="0"/>
        <w:rPr>
          <w:highlight w:val="yellow"/>
        </w:rPr>
      </w:pPr>
      <w:r w:rsidRPr="00AF7381">
        <w:rPr>
          <w:highlight w:val="yellow"/>
        </w:rPr>
        <w:t>Do you have a place to sleep tonight?</w:t>
      </w:r>
    </w:p>
    <w:p w14:paraId="72A074B7" w14:textId="77777777" w:rsidR="00AF7381" w:rsidRPr="00AF7381" w:rsidRDefault="00AF7381">
      <w:pPr>
        <w:pStyle w:val="ListParagraph"/>
        <w:numPr>
          <w:ilvl w:val="0"/>
          <w:numId w:val="156"/>
        </w:numPr>
        <w:spacing w:after="120"/>
        <w:contextualSpacing w:val="0"/>
        <w:rPr>
          <w:highlight w:val="yellow"/>
        </w:rPr>
      </w:pPr>
      <w:r w:rsidRPr="00AF7381">
        <w:rPr>
          <w:highlight w:val="yellow"/>
        </w:rPr>
        <w:t>Are you currently in danger?</w:t>
      </w:r>
    </w:p>
    <w:p w14:paraId="10AA91CF" w14:textId="77777777" w:rsidR="00AF7381" w:rsidRPr="00AF7381" w:rsidRDefault="00AF7381">
      <w:pPr>
        <w:pStyle w:val="ListParagraph"/>
        <w:numPr>
          <w:ilvl w:val="0"/>
          <w:numId w:val="156"/>
        </w:numPr>
        <w:contextualSpacing w:val="0"/>
        <w:rPr>
          <w:highlight w:val="yellow"/>
        </w:rPr>
      </w:pPr>
      <w:r w:rsidRPr="00AF7381">
        <w:rPr>
          <w:highlight w:val="yellow"/>
        </w:rPr>
        <w:t>What is your biggest need today?</w:t>
      </w:r>
    </w:p>
    <w:p w14:paraId="7AA87974" w14:textId="77777777" w:rsidR="00AF7381" w:rsidRPr="00AF7381" w:rsidRDefault="00AF7381" w:rsidP="00AF7381">
      <w:pPr>
        <w:pStyle w:val="ListParagraph"/>
        <w:contextualSpacing w:val="0"/>
        <w:rPr>
          <w:highlight w:val="yellow"/>
        </w:rPr>
      </w:pPr>
    </w:p>
    <w:p w14:paraId="2C484D61" w14:textId="77777777" w:rsidR="00AF7381" w:rsidRPr="00AF7381" w:rsidRDefault="00AF7381" w:rsidP="00AF7381">
      <w:pPr>
        <w:jc w:val="both"/>
        <w:rPr>
          <w:highlight w:val="yellow"/>
        </w:rPr>
      </w:pPr>
      <w:r w:rsidRPr="00AF7381">
        <w:rPr>
          <w:highlight w:val="yellow"/>
        </w:rPr>
        <w:t>The CES ensures that potential program participants are referred to all available resources for which they are prioritized and eligible, and for which a vacancy exists.  An effective and efficient referral process considers the written standards for prioritizing assistance developed by the CSCoC and the ESG Program recipients and individual project eligibility requirements, such as those established by funders other than HUD, or the requirements of nontraditional services providers that are participating in the coordinated entry process.</w:t>
      </w:r>
    </w:p>
    <w:p w14:paraId="6CCD4DFD" w14:textId="77777777" w:rsidR="00AF7381" w:rsidRPr="00AF7381" w:rsidRDefault="00AF7381" w:rsidP="00AF7381">
      <w:pPr>
        <w:jc w:val="both"/>
        <w:rPr>
          <w:highlight w:val="yellow"/>
        </w:rPr>
      </w:pPr>
    </w:p>
    <w:p w14:paraId="1B35D541" w14:textId="77777777" w:rsidR="00AF7381" w:rsidRPr="004B7B0B" w:rsidRDefault="00AF7381" w:rsidP="00AF7381">
      <w:pPr>
        <w:pStyle w:val="Heading2"/>
        <w:rPr>
          <w:color w:val="0070C0"/>
          <w:highlight w:val="yellow"/>
        </w:rPr>
      </w:pPr>
      <w:bookmarkStart w:id="47" w:name="_Toc34043190"/>
      <w:bookmarkStart w:id="48" w:name="_Toc124254991"/>
      <w:r w:rsidRPr="004B7B0B">
        <w:rPr>
          <w:color w:val="0070C0"/>
          <w:highlight w:val="yellow"/>
        </w:rPr>
        <w:t>Prevention &amp; Diversion</w:t>
      </w:r>
      <w:bookmarkEnd w:id="47"/>
      <w:bookmarkEnd w:id="48"/>
    </w:p>
    <w:p w14:paraId="7B42D947" w14:textId="77777777" w:rsidR="00AF7381" w:rsidRPr="00AF7381" w:rsidRDefault="00AF7381" w:rsidP="00AF7381">
      <w:pPr>
        <w:rPr>
          <w:highlight w:val="yellow"/>
        </w:rPr>
      </w:pPr>
      <w:r w:rsidRPr="00AF7381">
        <w:rPr>
          <w:highlight w:val="yellow"/>
        </w:rPr>
        <w:t xml:space="preserve">There are many more households who qualify for homelessness prevention assistance than homeless assistance.  ESG funded prevention assistance is incorporated into the coordinated entry process. Communities should decide to what extent they include additional non-prevention programs and how they are incorporated.   If pre-screening questions determine that a household is not literally homeless, entry point service provider shall connect the household with prevention or diversion resources as detailed in an Entry Point Binder produced and maintained by CES service provider.  </w:t>
      </w:r>
    </w:p>
    <w:p w14:paraId="4E96819D" w14:textId="77777777" w:rsidR="00AF7381" w:rsidRPr="00AF7381" w:rsidRDefault="00AF7381" w:rsidP="00AF7381">
      <w:pPr>
        <w:rPr>
          <w:highlight w:val="yellow"/>
        </w:rPr>
      </w:pPr>
    </w:p>
    <w:p w14:paraId="7EF73195" w14:textId="77777777" w:rsidR="00AF7381" w:rsidRPr="004B7B0B" w:rsidRDefault="00AF7381" w:rsidP="00AF7381">
      <w:pPr>
        <w:pStyle w:val="Heading2"/>
        <w:rPr>
          <w:color w:val="0070C0"/>
          <w:highlight w:val="yellow"/>
        </w:rPr>
      </w:pPr>
      <w:bookmarkStart w:id="49" w:name="_Toc34043191"/>
      <w:bookmarkStart w:id="50" w:name="_Toc124254992"/>
      <w:r w:rsidRPr="004B7B0B">
        <w:rPr>
          <w:color w:val="0070C0"/>
          <w:highlight w:val="yellow"/>
        </w:rPr>
        <w:t>Category 4 – Domestic Violence</w:t>
      </w:r>
      <w:bookmarkEnd w:id="49"/>
      <w:bookmarkEnd w:id="50"/>
    </w:p>
    <w:p w14:paraId="6C362141" w14:textId="2B3D0B04" w:rsidR="00AF7381" w:rsidRPr="00AF7381" w:rsidRDefault="00AF7381" w:rsidP="00AF7381">
      <w:pPr>
        <w:jc w:val="both"/>
        <w:rPr>
          <w:highlight w:val="yellow"/>
        </w:rPr>
      </w:pPr>
      <w:r w:rsidRPr="00AF7381">
        <w:rPr>
          <w:highlight w:val="yellow"/>
        </w:rPr>
        <w:t xml:space="preserve">If pre-screening questions determine that a household is fleeing or attempting to flee, domestic violence, entry point service provider shall connect the household with a victim service provider by the process outlined later in these </w:t>
      </w:r>
      <w:r w:rsidR="00CF123B">
        <w:rPr>
          <w:highlight w:val="yellow"/>
        </w:rPr>
        <w:t>Written Standards</w:t>
      </w:r>
      <w:r w:rsidRPr="00AF7381">
        <w:rPr>
          <w:highlight w:val="yellow"/>
        </w:rPr>
        <w:t>.</w:t>
      </w:r>
    </w:p>
    <w:p w14:paraId="73A6ABD4" w14:textId="77777777" w:rsidR="00AF7381" w:rsidRPr="00AF7381" w:rsidRDefault="00AF7381" w:rsidP="00AF7381">
      <w:pPr>
        <w:jc w:val="both"/>
        <w:rPr>
          <w:highlight w:val="yellow"/>
        </w:rPr>
      </w:pPr>
    </w:p>
    <w:p w14:paraId="5C1ACF89" w14:textId="77777777" w:rsidR="00AF7381" w:rsidRPr="00AF7381" w:rsidRDefault="00AF7381" w:rsidP="00AF7381">
      <w:pPr>
        <w:jc w:val="both"/>
        <w:rPr>
          <w:highlight w:val="yellow"/>
        </w:rPr>
      </w:pPr>
      <w:r w:rsidRPr="00AF7381">
        <w:rPr>
          <w:highlight w:val="yellow"/>
        </w:rPr>
        <w:lastRenderedPageBreak/>
        <w:t>When a household actively fleeing domestic violence presents at a non-victim service provider, the service provider will make every effort to connect the household with a victim’s services provider.  The services provided may be shelter, but may also be advocacy, or safety planning and peer counseling.  When an assessment is being conducted, if a household is determined to be at imminent risk of harm due to domestic violence, the CES service provider will immediately connect the household to Domestic Violence Services by calling the local domestic violence hotline.  If the household agrees, the service provider may also contact the local Police Department.</w:t>
      </w:r>
    </w:p>
    <w:p w14:paraId="0B98ADCA" w14:textId="77777777" w:rsidR="00AF7381" w:rsidRPr="00AF7381" w:rsidRDefault="00AF7381" w:rsidP="00AF7381">
      <w:pPr>
        <w:jc w:val="both"/>
        <w:rPr>
          <w:highlight w:val="yellow"/>
        </w:rPr>
      </w:pPr>
    </w:p>
    <w:p w14:paraId="7B4FCAE3" w14:textId="77777777" w:rsidR="00AF7381" w:rsidRPr="00AF7381" w:rsidRDefault="00AF7381" w:rsidP="00AF7381">
      <w:pPr>
        <w:jc w:val="both"/>
        <w:rPr>
          <w:highlight w:val="yellow"/>
        </w:rPr>
      </w:pPr>
      <w:r w:rsidRPr="00AF7381">
        <w:rPr>
          <w:highlight w:val="yellow"/>
        </w:rPr>
        <w:t>Domestic violence service providers will not be entering data into HMIS.  Category 4 households are served electronically through those systems only for safety and protection.  If these households present at the CES intake process, they are provided the same opportunities to participate in CES as other households.  If the referral comes back to the CES intake service provider from the Domestic Violence program, the household will be offered the same housing assessment as all other households.  Nothing may disqualify a household fleeing domestic violence from seeking shelter or transfers to a safe, available unit at the point of entry.  Households that need assistance will be referred to the local domestic violence crisis center of their choice for intake and assessment.</w:t>
      </w:r>
    </w:p>
    <w:p w14:paraId="3F27629F" w14:textId="77777777" w:rsidR="00AF7381" w:rsidRPr="00AF7381" w:rsidRDefault="00AF7381" w:rsidP="00AF7381">
      <w:pPr>
        <w:jc w:val="both"/>
        <w:rPr>
          <w:highlight w:val="yellow"/>
        </w:rPr>
      </w:pPr>
    </w:p>
    <w:p w14:paraId="64FF46D9" w14:textId="77777777" w:rsidR="00AF7381" w:rsidRPr="004B7B0B" w:rsidRDefault="00AF7381" w:rsidP="00AF7381">
      <w:pPr>
        <w:pStyle w:val="Heading2"/>
        <w:rPr>
          <w:color w:val="0070C0"/>
          <w:highlight w:val="yellow"/>
        </w:rPr>
      </w:pPr>
      <w:bookmarkStart w:id="51" w:name="_Toc34043192"/>
      <w:bookmarkStart w:id="52" w:name="_Toc124254993"/>
      <w:r w:rsidRPr="004B7B0B">
        <w:rPr>
          <w:color w:val="0070C0"/>
          <w:highlight w:val="yellow"/>
        </w:rPr>
        <w:t>Other Households Experiencing Homelessness</w:t>
      </w:r>
      <w:bookmarkEnd w:id="51"/>
      <w:bookmarkEnd w:id="52"/>
    </w:p>
    <w:p w14:paraId="304DF1E9" w14:textId="77777777" w:rsidR="00AF7381" w:rsidRPr="00AF7381" w:rsidRDefault="00AF7381" w:rsidP="00AF7381">
      <w:pPr>
        <w:jc w:val="both"/>
        <w:rPr>
          <w:highlight w:val="yellow"/>
        </w:rPr>
      </w:pPr>
      <w:r w:rsidRPr="00AF7381">
        <w:rPr>
          <w:highlight w:val="yellow"/>
        </w:rPr>
        <w:t xml:space="preserve">When a household is identified by the CES access system to include a veteran, they will immediately be referred to the nearest local Veteran Hub Station for services.  The household may choose to go through the veteran-targeted HUB Station, or they may choose to continue completing the CES intake and assessment at the HUB of their choice.  </w:t>
      </w:r>
    </w:p>
    <w:p w14:paraId="394653E2" w14:textId="77777777" w:rsidR="00AF7381" w:rsidRPr="00AF7381" w:rsidRDefault="00AF7381" w:rsidP="00AF7381">
      <w:pPr>
        <w:jc w:val="both"/>
        <w:rPr>
          <w:highlight w:val="yellow"/>
        </w:rPr>
      </w:pPr>
    </w:p>
    <w:p w14:paraId="5A0CCF94" w14:textId="77777777" w:rsidR="00AF7381" w:rsidRPr="00AF7381" w:rsidRDefault="00AF7381" w:rsidP="00AF7381">
      <w:pPr>
        <w:jc w:val="both"/>
        <w:rPr>
          <w:highlight w:val="yellow"/>
        </w:rPr>
      </w:pPr>
      <w:r w:rsidRPr="00AF7381">
        <w:rPr>
          <w:highlight w:val="yellow"/>
        </w:rPr>
        <w:t>While all households identified in CES as including veterans shall be offered a referral to service providers that specifically target veterans, the household is free to decline such referrals and remain eligible for placement with any other appropriate service provider within the CSCoC.</w:t>
      </w:r>
    </w:p>
    <w:p w14:paraId="38844FBC" w14:textId="77777777" w:rsidR="00AF7381" w:rsidRPr="00AF7381" w:rsidRDefault="00AF7381" w:rsidP="00AF7381">
      <w:pPr>
        <w:jc w:val="both"/>
        <w:rPr>
          <w:highlight w:val="yellow"/>
        </w:rPr>
      </w:pPr>
    </w:p>
    <w:p w14:paraId="46F3B983" w14:textId="77777777" w:rsidR="00AF7381" w:rsidRPr="00AF7381" w:rsidRDefault="00AF7381" w:rsidP="00AF7381">
      <w:pPr>
        <w:jc w:val="both"/>
        <w:rPr>
          <w:highlight w:val="yellow"/>
        </w:rPr>
      </w:pPr>
      <w:r w:rsidRPr="00AF7381">
        <w:rPr>
          <w:highlight w:val="yellow"/>
        </w:rPr>
        <w:t>If a referral is made to a service provider that specifically targets veterans, and the service provider determines that the household does not qualify for their services, the household is returned to CES.</w:t>
      </w:r>
    </w:p>
    <w:p w14:paraId="0F20A4BE" w14:textId="77777777" w:rsidR="00AF7381" w:rsidRPr="00AF7381" w:rsidRDefault="00AF7381" w:rsidP="00AF7381">
      <w:pPr>
        <w:jc w:val="both"/>
        <w:rPr>
          <w:highlight w:val="yellow"/>
        </w:rPr>
      </w:pPr>
    </w:p>
    <w:p w14:paraId="725CD1CE" w14:textId="77777777" w:rsidR="00AF7381" w:rsidRPr="00AF7381" w:rsidRDefault="00AF7381" w:rsidP="00AF7381">
      <w:pPr>
        <w:jc w:val="both"/>
        <w:rPr>
          <w:highlight w:val="yellow"/>
        </w:rPr>
      </w:pPr>
      <w:r w:rsidRPr="00AF7381">
        <w:rPr>
          <w:highlight w:val="yellow"/>
        </w:rPr>
        <w:t>Any additional questions regarding veteran status, service area, and discharge information will be collected by the veteran program receiving the referral.</w:t>
      </w:r>
    </w:p>
    <w:p w14:paraId="6DE9C24C" w14:textId="77777777" w:rsidR="00AF7381" w:rsidRPr="00AF7381" w:rsidRDefault="00AF7381" w:rsidP="00AF7381">
      <w:pPr>
        <w:jc w:val="both"/>
        <w:rPr>
          <w:highlight w:val="yellow"/>
        </w:rPr>
      </w:pPr>
    </w:p>
    <w:p w14:paraId="3BCFBE31" w14:textId="77777777" w:rsidR="00AF7381" w:rsidRPr="00AF7381" w:rsidRDefault="00AF7381" w:rsidP="00AF7381">
      <w:pPr>
        <w:jc w:val="both"/>
        <w:rPr>
          <w:highlight w:val="yellow"/>
        </w:rPr>
      </w:pPr>
      <w:r w:rsidRPr="00AF7381">
        <w:rPr>
          <w:highlight w:val="yellow"/>
        </w:rPr>
        <w:t>If pre-screening questions determine that a household is literally homeless, entry point service provider shall walk the household through the following process:</w:t>
      </w:r>
    </w:p>
    <w:p w14:paraId="2BC03CE3" w14:textId="77777777" w:rsidR="00AF7381" w:rsidRPr="00AF7381" w:rsidRDefault="00AF7381">
      <w:pPr>
        <w:pStyle w:val="ListParagraph"/>
        <w:numPr>
          <w:ilvl w:val="0"/>
          <w:numId w:val="157"/>
        </w:numPr>
        <w:spacing w:after="120"/>
        <w:contextualSpacing w:val="0"/>
        <w:rPr>
          <w:highlight w:val="yellow"/>
        </w:rPr>
      </w:pPr>
      <w:r w:rsidRPr="00AF7381">
        <w:rPr>
          <w:highlight w:val="yellow"/>
        </w:rPr>
        <w:t>Offer the household an overview of coordinated entry and the assessment, prioritization, and matching process.</w:t>
      </w:r>
    </w:p>
    <w:p w14:paraId="08EC9733" w14:textId="77777777" w:rsidR="00AF7381" w:rsidRPr="00AF7381" w:rsidRDefault="00AF7381">
      <w:pPr>
        <w:pStyle w:val="ListParagraph"/>
        <w:numPr>
          <w:ilvl w:val="0"/>
          <w:numId w:val="157"/>
        </w:numPr>
        <w:spacing w:after="120"/>
        <w:contextualSpacing w:val="0"/>
        <w:rPr>
          <w:highlight w:val="yellow"/>
        </w:rPr>
      </w:pPr>
      <w:r w:rsidRPr="00AF7381">
        <w:rPr>
          <w:highlight w:val="yellow"/>
        </w:rPr>
        <w:t xml:space="preserve">If the household agrees to proceed, entry point service provider shall have the household fill out an HMIS Release of Information Form.  The completed form shall be scanned into </w:t>
      </w:r>
      <w:proofErr w:type="gramStart"/>
      <w:r w:rsidRPr="00AF7381">
        <w:rPr>
          <w:highlight w:val="yellow"/>
        </w:rPr>
        <w:t>HMIS</w:t>
      </w:r>
      <w:proofErr w:type="gramEnd"/>
      <w:r w:rsidRPr="00AF7381">
        <w:rPr>
          <w:highlight w:val="yellow"/>
        </w:rPr>
        <w:t xml:space="preserve"> and any original paper copies shall be destroyed.</w:t>
      </w:r>
    </w:p>
    <w:p w14:paraId="777144FC" w14:textId="77777777" w:rsidR="00AF7381" w:rsidRPr="00AF7381" w:rsidRDefault="00AF7381">
      <w:pPr>
        <w:pStyle w:val="ListParagraph"/>
        <w:numPr>
          <w:ilvl w:val="0"/>
          <w:numId w:val="157"/>
        </w:numPr>
        <w:spacing w:after="120"/>
        <w:contextualSpacing w:val="0"/>
        <w:rPr>
          <w:highlight w:val="yellow"/>
        </w:rPr>
      </w:pPr>
      <w:r w:rsidRPr="00AF7381">
        <w:rPr>
          <w:highlight w:val="yellow"/>
        </w:rPr>
        <w:lastRenderedPageBreak/>
        <w:t>Entry point service provider shall then collect Universal Data Elements intake questions and enter the household’s answers into HMIS.</w:t>
      </w:r>
    </w:p>
    <w:p w14:paraId="4F705FFF" w14:textId="77777777" w:rsidR="00AF7381" w:rsidRPr="00AF7381" w:rsidRDefault="00AF7381">
      <w:pPr>
        <w:pStyle w:val="ListParagraph"/>
        <w:numPr>
          <w:ilvl w:val="0"/>
          <w:numId w:val="157"/>
        </w:numPr>
        <w:spacing w:after="120"/>
        <w:contextualSpacing w:val="0"/>
        <w:rPr>
          <w:highlight w:val="yellow"/>
        </w:rPr>
      </w:pPr>
      <w:r w:rsidRPr="00AF7381">
        <w:rPr>
          <w:highlight w:val="yellow"/>
        </w:rPr>
        <w:t>Once the Universal Data Elements information is collected, entry point service provider shall begin a Modified VI-SPDAT interview as detailed below.  The Modified VI-SPDAT shall be rendered in a private room/space whenever possible.  All available contact information shall be collected from the household.</w:t>
      </w:r>
    </w:p>
    <w:p w14:paraId="251F9B92" w14:textId="77777777" w:rsidR="00AF7381" w:rsidRPr="00AF7381" w:rsidRDefault="00AF7381">
      <w:pPr>
        <w:pStyle w:val="ListParagraph"/>
        <w:numPr>
          <w:ilvl w:val="0"/>
          <w:numId w:val="157"/>
        </w:numPr>
        <w:spacing w:after="120"/>
        <w:contextualSpacing w:val="0"/>
        <w:rPr>
          <w:highlight w:val="yellow"/>
        </w:rPr>
      </w:pPr>
      <w:r w:rsidRPr="00AF7381">
        <w:rPr>
          <w:highlight w:val="yellow"/>
        </w:rPr>
        <w:t>At the end of the Modified VI-SPDAT, entry point service provider shall remind the household that completion of the Modified VI-SPDAT, is not a guarantee of housing.</w:t>
      </w:r>
    </w:p>
    <w:p w14:paraId="489FF306" w14:textId="77777777" w:rsidR="00AF7381" w:rsidRPr="00AF7381" w:rsidRDefault="00AF7381">
      <w:pPr>
        <w:pStyle w:val="ListParagraph"/>
        <w:numPr>
          <w:ilvl w:val="0"/>
          <w:numId w:val="157"/>
        </w:numPr>
        <w:spacing w:after="120"/>
        <w:contextualSpacing w:val="0"/>
        <w:rPr>
          <w:highlight w:val="yellow"/>
        </w:rPr>
      </w:pPr>
      <w:r w:rsidRPr="00AF7381">
        <w:rPr>
          <w:highlight w:val="yellow"/>
        </w:rPr>
        <w:t>Upon the completion of the Modified VI-SPDAT, entry point service provider may begin to address any immediate wrap-around needs.</w:t>
      </w:r>
    </w:p>
    <w:p w14:paraId="3B3B15DB" w14:textId="3334CD6A" w:rsidR="00AF7381" w:rsidRDefault="00AF7381">
      <w:pPr>
        <w:pStyle w:val="ListParagraph"/>
        <w:numPr>
          <w:ilvl w:val="0"/>
          <w:numId w:val="157"/>
        </w:numPr>
        <w:spacing w:after="120"/>
        <w:contextualSpacing w:val="0"/>
        <w:rPr>
          <w:highlight w:val="yellow"/>
        </w:rPr>
      </w:pPr>
      <w:r w:rsidRPr="00AF7381">
        <w:rPr>
          <w:highlight w:val="yellow"/>
        </w:rPr>
        <w:t>All households shall be given CES contact information before they leave.</w:t>
      </w:r>
    </w:p>
    <w:p w14:paraId="0BB931E8" w14:textId="352CAD1D" w:rsidR="00F90BC7" w:rsidRDefault="00F90BC7" w:rsidP="00F90BC7">
      <w:pPr>
        <w:pStyle w:val="ListParagraph"/>
        <w:spacing w:after="120"/>
        <w:contextualSpacing w:val="0"/>
        <w:rPr>
          <w:highlight w:val="yellow"/>
        </w:rPr>
      </w:pPr>
    </w:p>
    <w:p w14:paraId="0DF9FD4B" w14:textId="27788ACA" w:rsidR="00F90BC7" w:rsidRDefault="00F90BC7" w:rsidP="00F90BC7">
      <w:pPr>
        <w:pStyle w:val="ListParagraph"/>
        <w:spacing w:after="120"/>
        <w:contextualSpacing w:val="0"/>
        <w:rPr>
          <w:highlight w:val="yellow"/>
        </w:rPr>
      </w:pPr>
    </w:p>
    <w:p w14:paraId="56713CF3" w14:textId="33552E28" w:rsidR="00F90BC7" w:rsidRDefault="00F90BC7" w:rsidP="00F90BC7">
      <w:pPr>
        <w:pStyle w:val="ListParagraph"/>
        <w:spacing w:after="120"/>
        <w:contextualSpacing w:val="0"/>
        <w:rPr>
          <w:highlight w:val="yellow"/>
        </w:rPr>
      </w:pPr>
    </w:p>
    <w:p w14:paraId="65D88933" w14:textId="6B5D9D76" w:rsidR="00F90BC7" w:rsidRDefault="00F90BC7" w:rsidP="00F90BC7">
      <w:pPr>
        <w:pStyle w:val="ListParagraph"/>
        <w:spacing w:after="120"/>
        <w:contextualSpacing w:val="0"/>
        <w:rPr>
          <w:highlight w:val="yellow"/>
        </w:rPr>
      </w:pPr>
    </w:p>
    <w:p w14:paraId="016EB6CD" w14:textId="10766FCA" w:rsidR="00F90BC7" w:rsidRDefault="00F90BC7" w:rsidP="00F90BC7">
      <w:pPr>
        <w:pStyle w:val="ListParagraph"/>
        <w:spacing w:after="120"/>
        <w:contextualSpacing w:val="0"/>
        <w:rPr>
          <w:highlight w:val="yellow"/>
        </w:rPr>
      </w:pPr>
    </w:p>
    <w:p w14:paraId="2AAB62AD" w14:textId="0162FCA5" w:rsidR="00F90BC7" w:rsidRDefault="00F90BC7" w:rsidP="00F90BC7">
      <w:pPr>
        <w:pStyle w:val="ListParagraph"/>
        <w:spacing w:after="120"/>
        <w:contextualSpacing w:val="0"/>
        <w:rPr>
          <w:highlight w:val="yellow"/>
        </w:rPr>
      </w:pPr>
    </w:p>
    <w:p w14:paraId="4D82ED34" w14:textId="2BE96DDB" w:rsidR="00F90BC7" w:rsidRDefault="00F90BC7" w:rsidP="00F90BC7">
      <w:pPr>
        <w:pStyle w:val="ListParagraph"/>
        <w:spacing w:after="120"/>
        <w:contextualSpacing w:val="0"/>
        <w:rPr>
          <w:highlight w:val="yellow"/>
        </w:rPr>
      </w:pPr>
    </w:p>
    <w:p w14:paraId="3528242E" w14:textId="73498A66" w:rsidR="00F90BC7" w:rsidRDefault="00F90BC7" w:rsidP="00F90BC7">
      <w:pPr>
        <w:pStyle w:val="ListParagraph"/>
        <w:spacing w:after="120"/>
        <w:contextualSpacing w:val="0"/>
        <w:rPr>
          <w:highlight w:val="yellow"/>
        </w:rPr>
      </w:pPr>
    </w:p>
    <w:p w14:paraId="674F6F4D" w14:textId="064B38BC" w:rsidR="00F90BC7" w:rsidRDefault="00F90BC7" w:rsidP="00F90BC7">
      <w:pPr>
        <w:pStyle w:val="ListParagraph"/>
        <w:spacing w:after="120"/>
        <w:contextualSpacing w:val="0"/>
        <w:rPr>
          <w:highlight w:val="yellow"/>
        </w:rPr>
      </w:pPr>
    </w:p>
    <w:p w14:paraId="0ECC2BB6" w14:textId="58F091D2" w:rsidR="00F90BC7" w:rsidRDefault="00F90BC7" w:rsidP="00F90BC7">
      <w:pPr>
        <w:pStyle w:val="ListParagraph"/>
        <w:spacing w:after="120"/>
        <w:contextualSpacing w:val="0"/>
        <w:rPr>
          <w:highlight w:val="yellow"/>
        </w:rPr>
      </w:pPr>
    </w:p>
    <w:p w14:paraId="20170EF1" w14:textId="7A0B1A06" w:rsidR="00F90BC7" w:rsidRDefault="00F90BC7" w:rsidP="00F90BC7">
      <w:pPr>
        <w:pStyle w:val="ListParagraph"/>
        <w:spacing w:after="120"/>
        <w:contextualSpacing w:val="0"/>
        <w:rPr>
          <w:highlight w:val="yellow"/>
        </w:rPr>
      </w:pPr>
    </w:p>
    <w:p w14:paraId="16F26280" w14:textId="2886A4D2" w:rsidR="00F90BC7" w:rsidRDefault="00F90BC7" w:rsidP="00F90BC7">
      <w:pPr>
        <w:pStyle w:val="ListParagraph"/>
        <w:spacing w:after="120"/>
        <w:contextualSpacing w:val="0"/>
        <w:rPr>
          <w:highlight w:val="yellow"/>
        </w:rPr>
      </w:pPr>
    </w:p>
    <w:p w14:paraId="506DD7AB" w14:textId="00C70B1D" w:rsidR="00F90BC7" w:rsidRDefault="00F90BC7" w:rsidP="00F90BC7">
      <w:pPr>
        <w:pStyle w:val="ListParagraph"/>
        <w:spacing w:after="120"/>
        <w:contextualSpacing w:val="0"/>
        <w:rPr>
          <w:highlight w:val="yellow"/>
        </w:rPr>
      </w:pPr>
    </w:p>
    <w:p w14:paraId="6F02186C" w14:textId="21646AE9" w:rsidR="00F90BC7" w:rsidRDefault="00F90BC7" w:rsidP="00F90BC7">
      <w:pPr>
        <w:pStyle w:val="ListParagraph"/>
        <w:spacing w:after="120"/>
        <w:contextualSpacing w:val="0"/>
        <w:rPr>
          <w:highlight w:val="yellow"/>
        </w:rPr>
      </w:pPr>
    </w:p>
    <w:p w14:paraId="24663541" w14:textId="64E16D63" w:rsidR="00F90BC7" w:rsidRDefault="00F90BC7" w:rsidP="00F90BC7">
      <w:pPr>
        <w:pStyle w:val="ListParagraph"/>
        <w:spacing w:after="120"/>
        <w:contextualSpacing w:val="0"/>
        <w:rPr>
          <w:highlight w:val="yellow"/>
        </w:rPr>
      </w:pPr>
    </w:p>
    <w:p w14:paraId="372E4CB3" w14:textId="77777777" w:rsidR="00F90BC7" w:rsidRPr="00AF7381" w:rsidRDefault="00F90BC7" w:rsidP="00F90BC7">
      <w:pPr>
        <w:pStyle w:val="ListParagraph"/>
        <w:spacing w:after="120"/>
        <w:contextualSpacing w:val="0"/>
        <w:rPr>
          <w:highlight w:val="yellow"/>
        </w:rPr>
      </w:pPr>
    </w:p>
    <w:p w14:paraId="06AEAF2D" w14:textId="77777777" w:rsidR="00AF7381" w:rsidRPr="004B7B0B" w:rsidRDefault="00AF7381" w:rsidP="00AF7381">
      <w:pPr>
        <w:pStyle w:val="Heading1"/>
        <w:rPr>
          <w:b/>
          <w:bCs/>
          <w:color w:val="0070C0"/>
          <w:highlight w:val="yellow"/>
        </w:rPr>
      </w:pPr>
      <w:bookmarkStart w:id="53" w:name="_Toc124254994"/>
      <w:r w:rsidRPr="004B7B0B">
        <w:rPr>
          <w:b/>
          <w:bCs/>
          <w:color w:val="0070C0"/>
          <w:highlight w:val="yellow"/>
        </w:rPr>
        <w:lastRenderedPageBreak/>
        <w:t>Assessment</w:t>
      </w:r>
      <w:bookmarkEnd w:id="53"/>
    </w:p>
    <w:p w14:paraId="744CE12C" w14:textId="77777777" w:rsidR="00AF7381" w:rsidRPr="00AF7381" w:rsidRDefault="00AF7381" w:rsidP="00AF7381">
      <w:pPr>
        <w:jc w:val="both"/>
        <w:rPr>
          <w:highlight w:val="yellow"/>
        </w:rPr>
      </w:pPr>
      <w:r w:rsidRPr="00AF7381">
        <w:rPr>
          <w:highlight w:val="yellow"/>
        </w:rPr>
        <w:t xml:space="preserve">Assessment is the process of gathering information about a household presenting to the crisis response system.  Assessment includes documenting information about the barriers the household faces to being rapidly housed and any characteristics that might make them more vulnerable while homeless.  </w:t>
      </w:r>
    </w:p>
    <w:p w14:paraId="4467381D" w14:textId="77777777" w:rsidR="00AF7381" w:rsidRPr="00AF7381" w:rsidRDefault="00AF7381" w:rsidP="00AF7381">
      <w:pPr>
        <w:jc w:val="both"/>
        <w:rPr>
          <w:highlight w:val="yellow"/>
        </w:rPr>
      </w:pPr>
    </w:p>
    <w:p w14:paraId="46E0965D" w14:textId="77777777" w:rsidR="00AF7381" w:rsidRPr="00AF7381" w:rsidRDefault="00AF7381" w:rsidP="00AF7381">
      <w:pPr>
        <w:jc w:val="both"/>
        <w:rPr>
          <w:highlight w:val="yellow"/>
        </w:rPr>
      </w:pPr>
      <w:r w:rsidRPr="00AF7381">
        <w:rPr>
          <w:highlight w:val="yellow"/>
        </w:rPr>
        <w:t>All assessments are conducted using trauma-informed, household-centered methods.  Assessment areas are continually assessed by CES service provider for their safety and privacy to allow households to identify sensitive information or safety issues in a private and secure setting.</w:t>
      </w:r>
    </w:p>
    <w:p w14:paraId="30F541DB" w14:textId="77777777" w:rsidR="00AF7381" w:rsidRPr="00AF7381" w:rsidRDefault="00AF7381" w:rsidP="00AF7381">
      <w:pPr>
        <w:jc w:val="both"/>
        <w:rPr>
          <w:highlight w:val="yellow"/>
        </w:rPr>
      </w:pPr>
    </w:p>
    <w:p w14:paraId="4BEC40C1" w14:textId="77777777" w:rsidR="00AF7381" w:rsidRPr="00AF7381" w:rsidRDefault="00AF7381" w:rsidP="00AF7381">
      <w:pPr>
        <w:jc w:val="both"/>
        <w:rPr>
          <w:highlight w:val="yellow"/>
        </w:rPr>
      </w:pPr>
      <w:r w:rsidRPr="00AF7381">
        <w:rPr>
          <w:highlight w:val="yellow"/>
        </w:rPr>
        <w:t xml:space="preserve">Historically, assessment of households experiencing a housing crisis included inordinately long and intrusive interviews, even if they were only seeking temporary emergency assistance.  Households might have to undergo the assessment process multiple times, at every place they accessed.  With coordinated entry, assessment can collect information in phases – initially collecting only the information essential to ascertaining the household’s immediate needs and to connect that household to appropriate interventions.  </w:t>
      </w:r>
    </w:p>
    <w:p w14:paraId="417D0FEB" w14:textId="77777777" w:rsidR="00AF7381" w:rsidRPr="00AF7381" w:rsidRDefault="00AF7381" w:rsidP="00AF7381">
      <w:pPr>
        <w:jc w:val="both"/>
        <w:rPr>
          <w:highlight w:val="yellow"/>
        </w:rPr>
      </w:pPr>
    </w:p>
    <w:p w14:paraId="75D8821C" w14:textId="77777777" w:rsidR="00AF7381" w:rsidRPr="00AF7381" w:rsidRDefault="00AF7381" w:rsidP="00AF7381">
      <w:pPr>
        <w:jc w:val="both"/>
        <w:rPr>
          <w:highlight w:val="yellow"/>
        </w:rPr>
      </w:pPr>
      <w:r w:rsidRPr="00AF7381">
        <w:rPr>
          <w:highlight w:val="yellow"/>
        </w:rPr>
        <w:t>As outlined in the 2016 Prioritization Notice and reinforced in the Coordinated Entry Notice, any tool used by CSCoC for the coordinated entry process is, to the greatest extent possible, the following:</w:t>
      </w:r>
    </w:p>
    <w:p w14:paraId="0E0460EA" w14:textId="77777777" w:rsidR="00AF7381" w:rsidRPr="00AF7381" w:rsidRDefault="00AF7381">
      <w:pPr>
        <w:pStyle w:val="ListParagraph"/>
        <w:numPr>
          <w:ilvl w:val="0"/>
          <w:numId w:val="166"/>
        </w:numPr>
        <w:spacing w:after="120"/>
        <w:contextualSpacing w:val="0"/>
        <w:jc w:val="both"/>
        <w:rPr>
          <w:highlight w:val="yellow"/>
        </w:rPr>
      </w:pPr>
      <w:r w:rsidRPr="00AF7381">
        <w:rPr>
          <w:highlight w:val="yellow"/>
        </w:rPr>
        <w:t>Tested, valid, and appropriate.</w:t>
      </w:r>
    </w:p>
    <w:p w14:paraId="5906A47B" w14:textId="77777777" w:rsidR="00AF7381" w:rsidRPr="00AF7381" w:rsidRDefault="00AF7381">
      <w:pPr>
        <w:pStyle w:val="ListParagraph"/>
        <w:numPr>
          <w:ilvl w:val="0"/>
          <w:numId w:val="166"/>
        </w:numPr>
        <w:spacing w:after="120"/>
        <w:contextualSpacing w:val="0"/>
        <w:jc w:val="both"/>
        <w:rPr>
          <w:highlight w:val="yellow"/>
        </w:rPr>
      </w:pPr>
      <w:r w:rsidRPr="00AF7381">
        <w:rPr>
          <w:highlight w:val="yellow"/>
        </w:rPr>
        <w:t>Reliable (provide consistent results).</w:t>
      </w:r>
    </w:p>
    <w:p w14:paraId="6EE0FAB7" w14:textId="77777777" w:rsidR="00AF7381" w:rsidRPr="00AF7381" w:rsidRDefault="00AF7381">
      <w:pPr>
        <w:pStyle w:val="ListParagraph"/>
        <w:numPr>
          <w:ilvl w:val="0"/>
          <w:numId w:val="166"/>
        </w:numPr>
        <w:spacing w:after="120"/>
        <w:contextualSpacing w:val="0"/>
        <w:jc w:val="both"/>
        <w:rPr>
          <w:highlight w:val="yellow"/>
        </w:rPr>
      </w:pPr>
      <w:r w:rsidRPr="00AF7381">
        <w:rPr>
          <w:highlight w:val="yellow"/>
        </w:rPr>
        <w:t>Comprehensive (provide access to all housing and supportive services within the CSCoC).</w:t>
      </w:r>
    </w:p>
    <w:p w14:paraId="47FF3E3C" w14:textId="77777777" w:rsidR="00AF7381" w:rsidRPr="00AF7381" w:rsidRDefault="00AF7381">
      <w:pPr>
        <w:pStyle w:val="ListParagraph"/>
        <w:numPr>
          <w:ilvl w:val="0"/>
          <w:numId w:val="166"/>
        </w:numPr>
        <w:spacing w:after="120"/>
        <w:contextualSpacing w:val="0"/>
        <w:jc w:val="both"/>
        <w:rPr>
          <w:highlight w:val="yellow"/>
        </w:rPr>
      </w:pPr>
      <w:r w:rsidRPr="00AF7381">
        <w:rPr>
          <w:highlight w:val="yellow"/>
        </w:rPr>
        <w:t>Household-centered (focused on resolving the household’s needs, instead of filling project vacancies).</w:t>
      </w:r>
    </w:p>
    <w:p w14:paraId="26035219" w14:textId="77777777" w:rsidR="00AF7381" w:rsidRPr="00AF7381" w:rsidRDefault="00AF7381">
      <w:pPr>
        <w:pStyle w:val="ListParagraph"/>
        <w:numPr>
          <w:ilvl w:val="0"/>
          <w:numId w:val="166"/>
        </w:numPr>
        <w:spacing w:after="120"/>
        <w:contextualSpacing w:val="0"/>
        <w:jc w:val="both"/>
        <w:rPr>
          <w:highlight w:val="yellow"/>
        </w:rPr>
      </w:pPr>
      <w:r w:rsidRPr="00AF7381">
        <w:rPr>
          <w:highlight w:val="yellow"/>
        </w:rPr>
        <w:t>User-friendly for both the household being assessed and the assessor.</w:t>
      </w:r>
    </w:p>
    <w:p w14:paraId="68715BCD" w14:textId="77777777" w:rsidR="00AF7381" w:rsidRPr="00AF7381" w:rsidRDefault="00AF7381">
      <w:pPr>
        <w:pStyle w:val="ListParagraph"/>
        <w:numPr>
          <w:ilvl w:val="0"/>
          <w:numId w:val="166"/>
        </w:numPr>
        <w:spacing w:after="120"/>
        <w:contextualSpacing w:val="0"/>
        <w:jc w:val="both"/>
        <w:rPr>
          <w:highlight w:val="yellow"/>
        </w:rPr>
      </w:pPr>
      <w:r w:rsidRPr="00AF7381">
        <w:rPr>
          <w:highlight w:val="yellow"/>
        </w:rPr>
        <w:t>Strengths-based (focused on the household’s barriers to and strengths for obtaining sustainable housing).</w:t>
      </w:r>
    </w:p>
    <w:p w14:paraId="5FDBB5B1" w14:textId="77777777" w:rsidR="00AF7381" w:rsidRPr="00AF7381" w:rsidRDefault="00AF7381">
      <w:pPr>
        <w:pStyle w:val="ListParagraph"/>
        <w:numPr>
          <w:ilvl w:val="0"/>
          <w:numId w:val="166"/>
        </w:numPr>
        <w:spacing w:after="120"/>
        <w:contextualSpacing w:val="0"/>
        <w:jc w:val="both"/>
        <w:rPr>
          <w:highlight w:val="yellow"/>
        </w:rPr>
      </w:pPr>
      <w:r w:rsidRPr="00AF7381">
        <w:rPr>
          <w:highlight w:val="yellow"/>
        </w:rPr>
        <w:t xml:space="preserve">Housing </w:t>
      </w:r>
      <w:proofErr w:type="gramStart"/>
      <w:r w:rsidRPr="00AF7381">
        <w:rPr>
          <w:highlight w:val="yellow"/>
        </w:rPr>
        <w:t>First-oriented</w:t>
      </w:r>
      <w:proofErr w:type="gramEnd"/>
      <w:r w:rsidRPr="00AF7381">
        <w:rPr>
          <w:highlight w:val="yellow"/>
        </w:rPr>
        <w:t xml:space="preserve"> (focused on rapidly housing participants without preconditions).</w:t>
      </w:r>
    </w:p>
    <w:p w14:paraId="0AD62890" w14:textId="77777777" w:rsidR="00AF7381" w:rsidRPr="00AF7381" w:rsidRDefault="00AF7381">
      <w:pPr>
        <w:pStyle w:val="ListParagraph"/>
        <w:numPr>
          <w:ilvl w:val="0"/>
          <w:numId w:val="166"/>
        </w:numPr>
        <w:spacing w:after="120"/>
        <w:contextualSpacing w:val="0"/>
        <w:jc w:val="both"/>
        <w:rPr>
          <w:highlight w:val="yellow"/>
        </w:rPr>
      </w:pPr>
      <w:r w:rsidRPr="00AF7381">
        <w:rPr>
          <w:highlight w:val="yellow"/>
        </w:rPr>
        <w:t>Sensitive to lived experiences (culturally and situationally sensitive, focused on reducing trauma and harm).</w:t>
      </w:r>
    </w:p>
    <w:p w14:paraId="54DEC6F2" w14:textId="77777777" w:rsidR="00AF7381" w:rsidRPr="00AF7381" w:rsidRDefault="00AF7381">
      <w:pPr>
        <w:pStyle w:val="ListParagraph"/>
        <w:numPr>
          <w:ilvl w:val="0"/>
          <w:numId w:val="166"/>
        </w:numPr>
        <w:contextualSpacing w:val="0"/>
        <w:jc w:val="both"/>
        <w:rPr>
          <w:highlight w:val="yellow"/>
        </w:rPr>
      </w:pPr>
      <w:r w:rsidRPr="00AF7381">
        <w:rPr>
          <w:highlight w:val="yellow"/>
        </w:rPr>
        <w:t>Transparent in the relationship between the questions being asked and the potential options for housing and supportive services.</w:t>
      </w:r>
    </w:p>
    <w:p w14:paraId="01831952" w14:textId="77777777" w:rsidR="00AF7381" w:rsidRPr="00AF7381" w:rsidRDefault="00AF7381" w:rsidP="00AF7381">
      <w:pPr>
        <w:pStyle w:val="ListParagraph"/>
        <w:contextualSpacing w:val="0"/>
        <w:jc w:val="both"/>
        <w:rPr>
          <w:highlight w:val="yellow"/>
        </w:rPr>
      </w:pPr>
    </w:p>
    <w:p w14:paraId="1D6F0561" w14:textId="77777777" w:rsidR="00AF7381" w:rsidRPr="004B7B0B" w:rsidRDefault="00AF7381" w:rsidP="00AF7381">
      <w:pPr>
        <w:pStyle w:val="Heading2"/>
        <w:rPr>
          <w:color w:val="0070C0"/>
          <w:highlight w:val="yellow"/>
        </w:rPr>
      </w:pPr>
      <w:bookmarkStart w:id="54" w:name="_Toc34043194"/>
      <w:bookmarkStart w:id="55" w:name="_Toc124254995"/>
      <w:r w:rsidRPr="004B7B0B">
        <w:rPr>
          <w:color w:val="0070C0"/>
          <w:highlight w:val="yellow"/>
        </w:rPr>
        <w:t>Collection of Information</w:t>
      </w:r>
      <w:bookmarkEnd w:id="54"/>
      <w:bookmarkEnd w:id="55"/>
    </w:p>
    <w:p w14:paraId="472E229F" w14:textId="77777777" w:rsidR="00AF7381" w:rsidRPr="00AF7381" w:rsidRDefault="00AF7381" w:rsidP="00AF7381">
      <w:pPr>
        <w:jc w:val="both"/>
        <w:rPr>
          <w:highlight w:val="yellow"/>
        </w:rPr>
      </w:pPr>
      <w:r w:rsidRPr="00AF7381">
        <w:rPr>
          <w:highlight w:val="yellow"/>
        </w:rPr>
        <w:t xml:space="preserve">The Modified VI-SPDAT separates households into two populations: Households with only Adults, and Households with Children. </w:t>
      </w:r>
    </w:p>
    <w:p w14:paraId="4FF2FE92" w14:textId="77777777" w:rsidR="00AF7381" w:rsidRPr="00AF7381" w:rsidRDefault="00AF7381" w:rsidP="00AF7381">
      <w:pPr>
        <w:jc w:val="both"/>
        <w:rPr>
          <w:b/>
          <w:bCs/>
          <w:highlight w:val="yellow"/>
        </w:rPr>
      </w:pPr>
    </w:p>
    <w:p w14:paraId="381D103D" w14:textId="77777777" w:rsidR="00AF7381" w:rsidRPr="00AF7381" w:rsidRDefault="00AF7381" w:rsidP="00AF7381">
      <w:pPr>
        <w:jc w:val="both"/>
        <w:rPr>
          <w:highlight w:val="yellow"/>
        </w:rPr>
      </w:pPr>
      <w:r w:rsidRPr="00AF7381">
        <w:rPr>
          <w:highlight w:val="yellow"/>
        </w:rPr>
        <w:t xml:space="preserve">All households in the coordinated entry process will be freely allowed to decide what information they provide during the assessment process and to refuse to answer assessment questions.  Although participants may become ineligible for some programs based on a lack </w:t>
      </w:r>
      <w:r w:rsidRPr="00AF7381">
        <w:rPr>
          <w:highlight w:val="yellow"/>
        </w:rPr>
        <w:lastRenderedPageBreak/>
        <w:t>of information, a participant’s refusal to answer questions will not be used as a reason to terminate the participant’s assessment, nor will it be used as a reason to refuse to refer the participant to programs for which the participant appears to be eligible.  Participants may refuse to answer assessment questions and to reject housing and service options offered without their suffering retribution or limiting their access to assistance.</w:t>
      </w:r>
    </w:p>
    <w:p w14:paraId="4E04CEE6" w14:textId="77777777" w:rsidR="00AF7381" w:rsidRPr="00AF7381" w:rsidRDefault="00AF7381" w:rsidP="00AF7381">
      <w:pPr>
        <w:jc w:val="both"/>
        <w:rPr>
          <w:highlight w:val="yellow"/>
        </w:rPr>
      </w:pPr>
    </w:p>
    <w:p w14:paraId="2982261F" w14:textId="77777777" w:rsidR="00AF7381" w:rsidRPr="00AF7381" w:rsidRDefault="00AF7381" w:rsidP="00AF7381">
      <w:pPr>
        <w:jc w:val="both"/>
        <w:rPr>
          <w:highlight w:val="yellow"/>
        </w:rPr>
      </w:pPr>
      <w:r w:rsidRPr="00AF7381">
        <w:rPr>
          <w:highlight w:val="yellow"/>
        </w:rPr>
        <w:t>Assessment service provider shall engage participants in an appropriate and respectful manner to collect only necessary assessment information.  Assessment service provider shall make every effort to assess and resolve the household’s housing needs based on a participant’s responses to assessment questions no matter how limited those responses.</w:t>
      </w:r>
    </w:p>
    <w:p w14:paraId="00FD4191" w14:textId="77777777" w:rsidR="00AF7381" w:rsidRPr="00AF7381" w:rsidRDefault="00AF7381" w:rsidP="00AF7381">
      <w:pPr>
        <w:jc w:val="both"/>
        <w:rPr>
          <w:highlight w:val="yellow"/>
        </w:rPr>
      </w:pPr>
    </w:p>
    <w:p w14:paraId="0EC90409" w14:textId="77777777" w:rsidR="00AF7381" w:rsidRPr="00AF7381" w:rsidRDefault="00AF7381" w:rsidP="00AF7381">
      <w:pPr>
        <w:jc w:val="both"/>
        <w:rPr>
          <w:highlight w:val="yellow"/>
        </w:rPr>
      </w:pPr>
      <w:r w:rsidRPr="00AF7381">
        <w:rPr>
          <w:highlight w:val="yellow"/>
        </w:rPr>
        <w:t>CSCoC utilizes Home Safe forms for all CSCoC or ESG funded programs throughout the service area, and maintains all required documents, including homeless status and chronic status.  Home Safe forms are streamlined to reflect emergency shelter admissions, PSH admissions, RR intake, homeless prevention, and include all CSCoC or ESG funded programs.  All CSCoC Home Safe forms are documented in the written standards, and all housing service providers are expected to use the approved checklist of documents in files.</w:t>
      </w:r>
    </w:p>
    <w:p w14:paraId="50AC9520" w14:textId="77777777" w:rsidR="00AF7381" w:rsidRPr="00AF7381" w:rsidRDefault="00AF7381" w:rsidP="00AF7381">
      <w:pPr>
        <w:jc w:val="both"/>
        <w:rPr>
          <w:b/>
          <w:bCs/>
          <w:highlight w:val="yellow"/>
        </w:rPr>
      </w:pPr>
    </w:p>
    <w:p w14:paraId="07E1D963" w14:textId="77777777" w:rsidR="00AF7381" w:rsidRPr="00AF7381" w:rsidRDefault="00AF7381" w:rsidP="00AF7381">
      <w:pPr>
        <w:jc w:val="both"/>
        <w:rPr>
          <w:highlight w:val="yellow"/>
          <w:u w:val="single"/>
        </w:rPr>
      </w:pPr>
      <w:r w:rsidRPr="00AF7381">
        <w:rPr>
          <w:highlight w:val="yellow"/>
          <w:u w:val="single"/>
        </w:rPr>
        <w:t>Modified VI-SPDAT</w:t>
      </w:r>
    </w:p>
    <w:p w14:paraId="7E5D6435" w14:textId="77777777" w:rsidR="00AF7381" w:rsidRPr="00AF7381" w:rsidRDefault="00AF7381" w:rsidP="00AF7381">
      <w:pPr>
        <w:spacing w:after="120" w:line="276" w:lineRule="auto"/>
        <w:jc w:val="both"/>
        <w:rPr>
          <w:highlight w:val="yellow"/>
        </w:rPr>
      </w:pPr>
      <w:r w:rsidRPr="00AF7381">
        <w:rPr>
          <w:highlight w:val="yellow"/>
        </w:rPr>
        <w:t>The Vulnerability Index – Service Prioritization Decision Assistance Tool (VI-SPDAT) was developed as a tool for frontline workers at agencies that work with homeless clients to prioritize which of those clients should receive assistance first. It was made in collaboration with Community Solutions, creators of the Vulnerability Index, as a brief survey that can be conducted to create a standardized vulnerability score for households presenting for services. The CSCoC uses a modified form of the VI-SPDAT to assess the vulnerability of households in the Central Sierra geographic area.</w:t>
      </w:r>
    </w:p>
    <w:p w14:paraId="5FDA3CC3" w14:textId="77777777" w:rsidR="00AF7381" w:rsidRPr="004B7B0B" w:rsidRDefault="00AF7381" w:rsidP="00AF7381">
      <w:pPr>
        <w:pStyle w:val="Heading2"/>
        <w:rPr>
          <w:color w:val="0070C0"/>
          <w:highlight w:val="yellow"/>
        </w:rPr>
      </w:pPr>
      <w:bookmarkStart w:id="56" w:name="_Toc34043195"/>
      <w:bookmarkStart w:id="57" w:name="_Toc124254996"/>
      <w:r w:rsidRPr="004B7B0B">
        <w:rPr>
          <w:color w:val="0070C0"/>
          <w:highlight w:val="yellow"/>
        </w:rPr>
        <w:t>Assessment in Phases</w:t>
      </w:r>
      <w:bookmarkEnd w:id="56"/>
      <w:bookmarkEnd w:id="57"/>
    </w:p>
    <w:p w14:paraId="5259FA40" w14:textId="77777777" w:rsidR="00AF7381" w:rsidRPr="00AF7381" w:rsidRDefault="00AF7381" w:rsidP="00AF7381">
      <w:pPr>
        <w:spacing w:after="120"/>
        <w:jc w:val="both"/>
        <w:rPr>
          <w:highlight w:val="yellow"/>
        </w:rPr>
      </w:pPr>
      <w:r w:rsidRPr="00AF7381">
        <w:rPr>
          <w:highlight w:val="yellow"/>
        </w:rPr>
        <w:t>The assessment component of the coordinated entry process may be implemented in phases in order to capture information on an as-needed basis as participants navigate the process, recognizing that trauma-informed approaches are necessary throughout these phases.  The assessment process, including information gathered from assessment tools, service providers, and others working with households, shall provide enough information to make prioritization decisions.  All households requesting shelter are screened for other safe and appropriate housing options (temporary or permanent) and resources to obtain/maintain their housing.  Households that have other safe and appropriate housing options or resources are diverted away from emergency shelter and instead offered problem-solving assistance and immediate linkage to homeless prevention assistance, as needed, desired and available.</w:t>
      </w:r>
    </w:p>
    <w:p w14:paraId="60E25B4A" w14:textId="77777777" w:rsidR="00AF7381" w:rsidRPr="00AF7381" w:rsidRDefault="00AF7381" w:rsidP="00AF7381">
      <w:pPr>
        <w:spacing w:after="120"/>
        <w:rPr>
          <w:highlight w:val="yellow"/>
        </w:rPr>
      </w:pPr>
      <w:r w:rsidRPr="00AF7381">
        <w:rPr>
          <w:highlight w:val="yellow"/>
        </w:rPr>
        <w:t>Assessment phases include:</w:t>
      </w:r>
    </w:p>
    <w:p w14:paraId="66D51141" w14:textId="77777777" w:rsidR="00AF7381" w:rsidRPr="00AF7381" w:rsidRDefault="00AF7381">
      <w:pPr>
        <w:pStyle w:val="ListParagraph"/>
        <w:numPr>
          <w:ilvl w:val="0"/>
          <w:numId w:val="158"/>
        </w:numPr>
        <w:spacing w:after="120"/>
        <w:contextualSpacing w:val="0"/>
        <w:rPr>
          <w:highlight w:val="yellow"/>
        </w:rPr>
      </w:pPr>
      <w:r w:rsidRPr="00AF7381">
        <w:rPr>
          <w:highlight w:val="yellow"/>
        </w:rPr>
        <w:t>Screening for diversion or prevention;</w:t>
      </w:r>
    </w:p>
    <w:p w14:paraId="1703CF9F" w14:textId="77777777" w:rsidR="00AF7381" w:rsidRPr="00AF7381" w:rsidRDefault="00AF7381">
      <w:pPr>
        <w:pStyle w:val="ListParagraph"/>
        <w:numPr>
          <w:ilvl w:val="0"/>
          <w:numId w:val="158"/>
        </w:numPr>
        <w:spacing w:after="120"/>
        <w:contextualSpacing w:val="0"/>
        <w:rPr>
          <w:highlight w:val="yellow"/>
        </w:rPr>
      </w:pPr>
      <w:r w:rsidRPr="00AF7381">
        <w:rPr>
          <w:highlight w:val="yellow"/>
        </w:rPr>
        <w:t>Assessing shelter and other emergency needs;</w:t>
      </w:r>
    </w:p>
    <w:p w14:paraId="0840B48C" w14:textId="77777777" w:rsidR="00AF7381" w:rsidRPr="00AF7381" w:rsidRDefault="00AF7381">
      <w:pPr>
        <w:pStyle w:val="ListParagraph"/>
        <w:numPr>
          <w:ilvl w:val="0"/>
          <w:numId w:val="158"/>
        </w:numPr>
        <w:spacing w:after="120"/>
        <w:contextualSpacing w:val="0"/>
        <w:rPr>
          <w:highlight w:val="yellow"/>
        </w:rPr>
      </w:pPr>
      <w:r w:rsidRPr="00AF7381">
        <w:rPr>
          <w:highlight w:val="yellow"/>
        </w:rPr>
        <w:t xml:space="preserve">Identifying housing resources and barriers; and </w:t>
      </w:r>
    </w:p>
    <w:p w14:paraId="355B11A9" w14:textId="77777777" w:rsidR="00AF7381" w:rsidRPr="00AF7381" w:rsidRDefault="00AF7381">
      <w:pPr>
        <w:pStyle w:val="ListParagraph"/>
        <w:numPr>
          <w:ilvl w:val="0"/>
          <w:numId w:val="158"/>
        </w:numPr>
        <w:contextualSpacing w:val="0"/>
        <w:rPr>
          <w:highlight w:val="yellow"/>
        </w:rPr>
      </w:pPr>
      <w:r w:rsidRPr="00AF7381">
        <w:rPr>
          <w:highlight w:val="yellow"/>
        </w:rPr>
        <w:lastRenderedPageBreak/>
        <w:t>Evaluating vulnerability to prioritize for assistance.</w:t>
      </w:r>
    </w:p>
    <w:p w14:paraId="01C16015" w14:textId="77777777" w:rsidR="00AF7381" w:rsidRPr="00AF7381" w:rsidRDefault="00AF7381" w:rsidP="00AF7381">
      <w:pPr>
        <w:pStyle w:val="ListParagraph"/>
        <w:contextualSpacing w:val="0"/>
        <w:rPr>
          <w:highlight w:val="yellow"/>
        </w:rPr>
      </w:pPr>
    </w:p>
    <w:p w14:paraId="728FB761" w14:textId="77777777" w:rsidR="00AF7381" w:rsidRPr="00AF7381" w:rsidRDefault="00AF7381" w:rsidP="00AF7381">
      <w:pPr>
        <w:jc w:val="both"/>
        <w:rPr>
          <w:highlight w:val="yellow"/>
        </w:rPr>
      </w:pPr>
      <w:r w:rsidRPr="00AF7381">
        <w:rPr>
          <w:highlight w:val="yellow"/>
        </w:rPr>
        <w:t>All households requesting shelter are also screened for critical health and safety needs to identify households with more severe service needs and provide an appropriate response.</w:t>
      </w:r>
    </w:p>
    <w:p w14:paraId="0E7AF576" w14:textId="77777777" w:rsidR="00AF7381" w:rsidRPr="00AF7381" w:rsidRDefault="00AF7381" w:rsidP="00AF7381">
      <w:pPr>
        <w:jc w:val="both"/>
        <w:rPr>
          <w:highlight w:val="yellow"/>
        </w:rPr>
      </w:pPr>
    </w:p>
    <w:p w14:paraId="1E276598" w14:textId="77777777" w:rsidR="00AF7381" w:rsidRPr="00AF7381" w:rsidRDefault="00AF7381" w:rsidP="00AF7381">
      <w:pPr>
        <w:jc w:val="both"/>
        <w:rPr>
          <w:highlight w:val="yellow"/>
        </w:rPr>
      </w:pPr>
      <w:r w:rsidRPr="00AF7381">
        <w:rPr>
          <w:highlight w:val="yellow"/>
        </w:rPr>
        <w:t>Assessments conducted in different phases must build on each other and limit the frequency with which a participant must repeat a household story to reduce trauma and improve system efficiency.  Information collection related to prioritization ranking and program eligibility may also occur concurrently with these different phases, even though assessment generally occurs before referral.</w:t>
      </w:r>
    </w:p>
    <w:p w14:paraId="687134C2" w14:textId="77777777" w:rsidR="00AF7381" w:rsidRPr="00AF7381" w:rsidRDefault="00AF7381" w:rsidP="00AF7381">
      <w:pPr>
        <w:jc w:val="both"/>
        <w:rPr>
          <w:highlight w:val="yellow"/>
        </w:rPr>
      </w:pPr>
    </w:p>
    <w:p w14:paraId="5A01EDB0" w14:textId="77777777" w:rsidR="00AF7381" w:rsidRPr="00AF7381" w:rsidRDefault="00AF7381" w:rsidP="00AF7381">
      <w:pPr>
        <w:jc w:val="both"/>
        <w:rPr>
          <w:highlight w:val="yellow"/>
        </w:rPr>
      </w:pPr>
      <w:r w:rsidRPr="00AF7381">
        <w:rPr>
          <w:highlight w:val="yellow"/>
        </w:rPr>
        <w:t>The phased assessment process used during coordinated entry is not intended to replace more specialized assessments, but rather to connect participants to the appropriate housing solution as quickly as possible.  Similarly, the assessment process does not preclude the use of complementary assessments designed to support access to mainstream services that are made available during assessment or otherwise conveniently accessed.</w:t>
      </w:r>
    </w:p>
    <w:p w14:paraId="17085268" w14:textId="77777777" w:rsidR="00AF7381" w:rsidRPr="00AF7381" w:rsidRDefault="00AF7381" w:rsidP="00AF7381">
      <w:pPr>
        <w:jc w:val="both"/>
        <w:rPr>
          <w:highlight w:val="yellow"/>
        </w:rPr>
      </w:pPr>
    </w:p>
    <w:p w14:paraId="354E0E9D" w14:textId="77777777" w:rsidR="00AF7381" w:rsidRPr="004B7B0B" w:rsidRDefault="00AF7381" w:rsidP="00AF7381">
      <w:pPr>
        <w:pStyle w:val="Heading2"/>
        <w:spacing w:before="0"/>
        <w:rPr>
          <w:color w:val="0070C0"/>
          <w:highlight w:val="yellow"/>
        </w:rPr>
      </w:pPr>
      <w:bookmarkStart w:id="58" w:name="_Toc34043196"/>
      <w:bookmarkStart w:id="59" w:name="_Toc124254997"/>
      <w:r w:rsidRPr="004B7B0B">
        <w:rPr>
          <w:color w:val="0070C0"/>
          <w:highlight w:val="yellow"/>
        </w:rPr>
        <w:t>Prevention and Diversion</w:t>
      </w:r>
      <w:bookmarkEnd w:id="58"/>
      <w:bookmarkEnd w:id="59"/>
    </w:p>
    <w:p w14:paraId="0E9364AC" w14:textId="77777777" w:rsidR="00AF7381" w:rsidRPr="00AF7381" w:rsidRDefault="00AF7381" w:rsidP="00AF7381">
      <w:pPr>
        <w:jc w:val="both"/>
        <w:rPr>
          <w:highlight w:val="yellow"/>
        </w:rPr>
      </w:pPr>
      <w:r w:rsidRPr="00AF7381">
        <w:rPr>
          <w:highlight w:val="yellow"/>
        </w:rPr>
        <w:t>The goal of prevention and diversion programs is to minimize entries to the crisis response system.  Households who are homeless or at risk of homelessness may access ESG and CSCoC funded prevention and diversion services through the coordinated entry process.  Street outreach, access and assessment points prioritize referrals to prevention services based on need and availability of appropriate interventions.</w:t>
      </w:r>
    </w:p>
    <w:p w14:paraId="4789C079" w14:textId="77777777" w:rsidR="00AF7381" w:rsidRPr="00AF7381" w:rsidRDefault="00AF7381" w:rsidP="00AF7381">
      <w:pPr>
        <w:jc w:val="both"/>
        <w:rPr>
          <w:highlight w:val="yellow"/>
        </w:rPr>
      </w:pPr>
    </w:p>
    <w:p w14:paraId="0AA9BF52" w14:textId="77777777" w:rsidR="00AF7381" w:rsidRPr="00AF7381" w:rsidRDefault="00AF7381" w:rsidP="00AF7381">
      <w:pPr>
        <w:jc w:val="both"/>
        <w:rPr>
          <w:highlight w:val="yellow"/>
        </w:rPr>
      </w:pPr>
      <w:r w:rsidRPr="00AF7381">
        <w:rPr>
          <w:highlight w:val="yellow"/>
        </w:rPr>
        <w:t>If, during the pre-screening interview of a household by a service provider, it is determined that the household is not literally homeless, the service provider may refer the household to other service providers listed in a service provider directory, continually maintained by CES service provider.</w:t>
      </w:r>
    </w:p>
    <w:p w14:paraId="2D1D6CB4" w14:textId="77777777" w:rsidR="00AF7381" w:rsidRPr="00AF7381" w:rsidRDefault="00AF7381" w:rsidP="00AF7381">
      <w:pPr>
        <w:jc w:val="both"/>
        <w:rPr>
          <w:highlight w:val="yellow"/>
        </w:rPr>
      </w:pPr>
    </w:p>
    <w:p w14:paraId="5CE00CE8" w14:textId="77777777" w:rsidR="00AF7381" w:rsidRPr="00AF7381" w:rsidRDefault="00AF7381" w:rsidP="00AF7381">
      <w:pPr>
        <w:spacing w:after="120"/>
        <w:jc w:val="both"/>
        <w:rPr>
          <w:highlight w:val="yellow"/>
        </w:rPr>
      </w:pPr>
      <w:r w:rsidRPr="00AF7381">
        <w:rPr>
          <w:highlight w:val="yellow"/>
        </w:rPr>
        <w:t>All prevention and diversion conversations shall proceed with service provider using the following script:</w:t>
      </w:r>
    </w:p>
    <w:p w14:paraId="1A5C001E" w14:textId="77777777" w:rsidR="00AF7381" w:rsidRPr="00AF7381" w:rsidRDefault="00AF7381" w:rsidP="00AF7381">
      <w:pPr>
        <w:rPr>
          <w:highlight w:val="yellow"/>
          <w:u w:val="single"/>
        </w:rPr>
      </w:pPr>
      <w:r w:rsidRPr="00AF7381">
        <w:rPr>
          <w:highlight w:val="yellow"/>
          <w:u w:val="single"/>
        </w:rPr>
        <w:t>Diversion Questions</w:t>
      </w:r>
    </w:p>
    <w:p w14:paraId="567D3E96" w14:textId="77777777" w:rsidR="00AF7381" w:rsidRPr="00AF7381" w:rsidRDefault="00AF7381">
      <w:pPr>
        <w:pStyle w:val="ListParagraph"/>
        <w:numPr>
          <w:ilvl w:val="0"/>
          <w:numId w:val="159"/>
        </w:numPr>
        <w:spacing w:after="120"/>
        <w:contextualSpacing w:val="0"/>
        <w:jc w:val="both"/>
        <w:rPr>
          <w:highlight w:val="yellow"/>
        </w:rPr>
      </w:pPr>
      <w:r w:rsidRPr="00AF7381">
        <w:rPr>
          <w:highlight w:val="yellow"/>
        </w:rPr>
        <w:t>“Are you safe in your current living situation?”</w:t>
      </w:r>
    </w:p>
    <w:p w14:paraId="1DD6E978" w14:textId="77777777" w:rsidR="00AF7381" w:rsidRPr="00AF7381" w:rsidRDefault="00AF7381">
      <w:pPr>
        <w:pStyle w:val="ListParagraph"/>
        <w:numPr>
          <w:ilvl w:val="1"/>
          <w:numId w:val="159"/>
        </w:numPr>
        <w:spacing w:after="120"/>
        <w:contextualSpacing w:val="0"/>
        <w:jc w:val="both"/>
        <w:rPr>
          <w:highlight w:val="yellow"/>
        </w:rPr>
      </w:pPr>
      <w:r w:rsidRPr="00AF7381">
        <w:rPr>
          <w:highlight w:val="yellow"/>
        </w:rPr>
        <w:t>If the response is no, but the household is otherwise eligible for diversion, service provider shall divert them to a location other than where they are currently staying and make sure that it is somewhere where the household feels safe.</w:t>
      </w:r>
    </w:p>
    <w:p w14:paraId="58C7666D" w14:textId="77777777" w:rsidR="00AF7381" w:rsidRPr="00AF7381" w:rsidRDefault="00AF7381">
      <w:pPr>
        <w:pStyle w:val="ListParagraph"/>
        <w:numPr>
          <w:ilvl w:val="0"/>
          <w:numId w:val="159"/>
        </w:numPr>
        <w:spacing w:after="120"/>
        <w:contextualSpacing w:val="0"/>
        <w:jc w:val="both"/>
        <w:rPr>
          <w:highlight w:val="yellow"/>
        </w:rPr>
      </w:pPr>
      <w:r w:rsidRPr="00AF7381">
        <w:rPr>
          <w:highlight w:val="yellow"/>
        </w:rPr>
        <w:t>“Is there anyone else you and your family could stay with for at least the next three to seven days if you were able to receive limited services such as (list services available in community such as case management services/transportation assistance/food pantry/limited financial support/other referrals)?”</w:t>
      </w:r>
    </w:p>
    <w:p w14:paraId="74B14886" w14:textId="77777777" w:rsidR="00AF7381" w:rsidRPr="00AF7381" w:rsidRDefault="00AF7381">
      <w:pPr>
        <w:pStyle w:val="ListParagraph"/>
        <w:numPr>
          <w:ilvl w:val="1"/>
          <w:numId w:val="159"/>
        </w:numPr>
        <w:spacing w:after="120"/>
        <w:contextualSpacing w:val="0"/>
        <w:jc w:val="both"/>
        <w:rPr>
          <w:highlight w:val="yellow"/>
        </w:rPr>
      </w:pPr>
      <w:r w:rsidRPr="00AF7381">
        <w:rPr>
          <w:highlight w:val="yellow"/>
        </w:rPr>
        <w:t>Help family think through potential places – with family, friends, co-workers.  Have them identify what barriers they think exist to staying in a certain location and how they might be overcome.</w:t>
      </w:r>
    </w:p>
    <w:p w14:paraId="50383038" w14:textId="77777777" w:rsidR="00AF7381" w:rsidRPr="00AF7381" w:rsidRDefault="00AF7381">
      <w:pPr>
        <w:pStyle w:val="ListParagraph"/>
        <w:numPr>
          <w:ilvl w:val="1"/>
          <w:numId w:val="159"/>
        </w:numPr>
        <w:spacing w:after="120"/>
        <w:contextualSpacing w:val="0"/>
        <w:jc w:val="both"/>
        <w:rPr>
          <w:highlight w:val="yellow"/>
        </w:rPr>
      </w:pPr>
      <w:r w:rsidRPr="00AF7381">
        <w:rPr>
          <w:highlight w:val="yellow"/>
        </w:rPr>
        <w:lastRenderedPageBreak/>
        <w:t>If the answer to this question is yes, the household qualifies for diversion assistance.  Skip to Concluding Questions</w:t>
      </w:r>
    </w:p>
    <w:p w14:paraId="169EB1C8" w14:textId="77777777" w:rsidR="00AF7381" w:rsidRPr="00AF7381" w:rsidRDefault="00AF7381">
      <w:pPr>
        <w:pStyle w:val="ListParagraph"/>
        <w:numPr>
          <w:ilvl w:val="1"/>
          <w:numId w:val="159"/>
        </w:numPr>
        <w:contextualSpacing w:val="0"/>
        <w:jc w:val="both"/>
        <w:rPr>
          <w:highlight w:val="yellow"/>
        </w:rPr>
      </w:pPr>
      <w:r w:rsidRPr="00AF7381">
        <w:rPr>
          <w:highlight w:val="yellow"/>
        </w:rPr>
        <w:t>If the answer to this question is no, and shelter diversion has therefore been ruled out, go to Prevention Questions</w:t>
      </w:r>
    </w:p>
    <w:p w14:paraId="61170C89" w14:textId="77777777" w:rsidR="00AF7381" w:rsidRPr="00AF7381" w:rsidRDefault="00AF7381" w:rsidP="00AF7381">
      <w:pPr>
        <w:pStyle w:val="ListParagraph"/>
        <w:ind w:left="1440"/>
        <w:contextualSpacing w:val="0"/>
        <w:jc w:val="both"/>
        <w:rPr>
          <w:highlight w:val="yellow"/>
        </w:rPr>
      </w:pPr>
    </w:p>
    <w:p w14:paraId="4C48DD87" w14:textId="77777777" w:rsidR="00AF7381" w:rsidRPr="00AF7381" w:rsidRDefault="00AF7381" w:rsidP="00AF7381">
      <w:pPr>
        <w:jc w:val="both"/>
        <w:rPr>
          <w:highlight w:val="yellow"/>
          <w:u w:val="single"/>
        </w:rPr>
      </w:pPr>
      <w:r w:rsidRPr="00AF7381">
        <w:rPr>
          <w:highlight w:val="yellow"/>
          <w:u w:val="single"/>
        </w:rPr>
        <w:t>Prevention Questions</w:t>
      </w:r>
    </w:p>
    <w:p w14:paraId="22676441" w14:textId="77777777" w:rsidR="00AF7381" w:rsidRPr="00AF7381" w:rsidRDefault="00AF7381">
      <w:pPr>
        <w:pStyle w:val="ListParagraph"/>
        <w:numPr>
          <w:ilvl w:val="0"/>
          <w:numId w:val="160"/>
        </w:numPr>
        <w:spacing w:after="120"/>
        <w:contextualSpacing w:val="0"/>
        <w:jc w:val="both"/>
        <w:rPr>
          <w:highlight w:val="yellow"/>
        </w:rPr>
      </w:pPr>
      <w:r w:rsidRPr="00AF7381">
        <w:rPr>
          <w:highlight w:val="yellow"/>
        </w:rPr>
        <w:t>“Are you safe in your current living situation?”</w:t>
      </w:r>
    </w:p>
    <w:p w14:paraId="737DCDC7" w14:textId="77777777" w:rsidR="00AF7381" w:rsidRPr="00AF7381" w:rsidRDefault="00AF7381">
      <w:pPr>
        <w:pStyle w:val="ListParagraph"/>
        <w:numPr>
          <w:ilvl w:val="1"/>
          <w:numId w:val="160"/>
        </w:numPr>
        <w:spacing w:after="120"/>
        <w:contextualSpacing w:val="0"/>
        <w:jc w:val="both"/>
        <w:rPr>
          <w:highlight w:val="yellow"/>
        </w:rPr>
      </w:pPr>
      <w:r w:rsidRPr="00AF7381">
        <w:rPr>
          <w:highlight w:val="yellow"/>
        </w:rPr>
        <w:t>If the answer is no, and the household is in immediate danger, refer them immediately to law enforcement and/or the appropriate local domestic violence service provider.</w:t>
      </w:r>
    </w:p>
    <w:p w14:paraId="3C4C4607" w14:textId="77777777" w:rsidR="00AF7381" w:rsidRPr="00AF7381" w:rsidRDefault="00AF7381">
      <w:pPr>
        <w:pStyle w:val="ListParagraph"/>
        <w:numPr>
          <w:ilvl w:val="0"/>
          <w:numId w:val="160"/>
        </w:numPr>
        <w:spacing w:after="120"/>
        <w:contextualSpacing w:val="0"/>
        <w:jc w:val="both"/>
        <w:rPr>
          <w:highlight w:val="yellow"/>
        </w:rPr>
      </w:pPr>
      <w:r w:rsidRPr="00AF7381">
        <w:rPr>
          <w:highlight w:val="yellow"/>
        </w:rPr>
        <w:t>“Do you believe you will become homeless within the next seven days?”</w:t>
      </w:r>
    </w:p>
    <w:p w14:paraId="55274266" w14:textId="77777777" w:rsidR="00AF7381" w:rsidRPr="00AF7381" w:rsidRDefault="00AF7381">
      <w:pPr>
        <w:pStyle w:val="ListParagraph"/>
        <w:numPr>
          <w:ilvl w:val="1"/>
          <w:numId w:val="160"/>
        </w:numPr>
        <w:spacing w:after="120"/>
        <w:contextualSpacing w:val="0"/>
        <w:jc w:val="both"/>
        <w:rPr>
          <w:highlight w:val="yellow"/>
        </w:rPr>
      </w:pPr>
      <w:r w:rsidRPr="00AF7381">
        <w:rPr>
          <w:highlight w:val="yellow"/>
        </w:rPr>
        <w:t>“If you are currently housed, what type of assistance would you need to stay there?”</w:t>
      </w:r>
    </w:p>
    <w:p w14:paraId="5E2B244F" w14:textId="77777777" w:rsidR="00AF7381" w:rsidRPr="00AF7381" w:rsidRDefault="00AF7381">
      <w:pPr>
        <w:pStyle w:val="ListParagraph"/>
        <w:numPr>
          <w:ilvl w:val="2"/>
          <w:numId w:val="160"/>
        </w:numPr>
        <w:spacing w:after="120"/>
        <w:contextualSpacing w:val="0"/>
        <w:rPr>
          <w:highlight w:val="yellow"/>
        </w:rPr>
      </w:pPr>
      <w:r w:rsidRPr="00AF7381">
        <w:rPr>
          <w:highlight w:val="yellow"/>
        </w:rPr>
        <w:t>Food assistance</w:t>
      </w:r>
    </w:p>
    <w:p w14:paraId="381CE210" w14:textId="77777777" w:rsidR="00AF7381" w:rsidRPr="00AF7381" w:rsidRDefault="00AF7381">
      <w:pPr>
        <w:pStyle w:val="ListParagraph"/>
        <w:numPr>
          <w:ilvl w:val="2"/>
          <w:numId w:val="160"/>
        </w:numPr>
        <w:spacing w:after="120"/>
        <w:contextualSpacing w:val="0"/>
        <w:rPr>
          <w:highlight w:val="yellow"/>
        </w:rPr>
      </w:pPr>
      <w:r w:rsidRPr="00AF7381">
        <w:rPr>
          <w:highlight w:val="yellow"/>
        </w:rPr>
        <w:t>Rental assistance</w:t>
      </w:r>
    </w:p>
    <w:p w14:paraId="471940DA" w14:textId="77777777" w:rsidR="00AF7381" w:rsidRPr="00AF7381" w:rsidRDefault="00AF7381">
      <w:pPr>
        <w:pStyle w:val="ListParagraph"/>
        <w:numPr>
          <w:ilvl w:val="2"/>
          <w:numId w:val="160"/>
        </w:numPr>
        <w:spacing w:after="120"/>
        <w:contextualSpacing w:val="0"/>
        <w:rPr>
          <w:highlight w:val="yellow"/>
        </w:rPr>
      </w:pPr>
      <w:r w:rsidRPr="00AF7381">
        <w:rPr>
          <w:highlight w:val="yellow"/>
        </w:rPr>
        <w:t>Utility assistance</w:t>
      </w:r>
    </w:p>
    <w:p w14:paraId="2ED9B826" w14:textId="77777777" w:rsidR="00AF7381" w:rsidRPr="00AF7381" w:rsidRDefault="00AF7381">
      <w:pPr>
        <w:pStyle w:val="ListParagraph"/>
        <w:numPr>
          <w:ilvl w:val="2"/>
          <w:numId w:val="160"/>
        </w:numPr>
        <w:spacing w:after="120"/>
        <w:contextualSpacing w:val="0"/>
        <w:rPr>
          <w:highlight w:val="yellow"/>
        </w:rPr>
      </w:pPr>
      <w:r w:rsidRPr="00AF7381">
        <w:rPr>
          <w:highlight w:val="yellow"/>
        </w:rPr>
        <w:t>Tenant/Landlord Mediation</w:t>
      </w:r>
    </w:p>
    <w:p w14:paraId="717A522F" w14:textId="77777777" w:rsidR="00AF7381" w:rsidRPr="00AF7381" w:rsidRDefault="00AF7381">
      <w:pPr>
        <w:pStyle w:val="ListParagraph"/>
        <w:numPr>
          <w:ilvl w:val="0"/>
          <w:numId w:val="160"/>
        </w:numPr>
        <w:spacing w:after="120"/>
        <w:contextualSpacing w:val="0"/>
        <w:jc w:val="both"/>
        <w:rPr>
          <w:highlight w:val="yellow"/>
        </w:rPr>
      </w:pPr>
      <w:r w:rsidRPr="00AF7381">
        <w:rPr>
          <w:highlight w:val="yellow"/>
        </w:rPr>
        <w:t>“Have you ever been to a shelter or another homeless assistance program before?”</w:t>
      </w:r>
    </w:p>
    <w:p w14:paraId="7CAFC0BE" w14:textId="77777777" w:rsidR="00AF7381" w:rsidRPr="00AF7381" w:rsidRDefault="00AF7381">
      <w:pPr>
        <w:pStyle w:val="ListParagraph"/>
        <w:numPr>
          <w:ilvl w:val="1"/>
          <w:numId w:val="160"/>
        </w:numPr>
        <w:spacing w:after="120"/>
        <w:contextualSpacing w:val="0"/>
        <w:jc w:val="both"/>
        <w:rPr>
          <w:highlight w:val="yellow"/>
        </w:rPr>
      </w:pPr>
      <w:r w:rsidRPr="00AF7381">
        <w:rPr>
          <w:highlight w:val="yellow"/>
        </w:rPr>
        <w:t>If the household answers yes, request the name of the program.</w:t>
      </w:r>
    </w:p>
    <w:p w14:paraId="7D8239F9" w14:textId="77777777" w:rsidR="00AF7381" w:rsidRPr="00AF7381" w:rsidRDefault="00AF7381">
      <w:pPr>
        <w:pStyle w:val="ListParagraph"/>
        <w:numPr>
          <w:ilvl w:val="2"/>
          <w:numId w:val="160"/>
        </w:numPr>
        <w:spacing w:after="120"/>
        <w:contextualSpacing w:val="0"/>
        <w:jc w:val="both"/>
        <w:rPr>
          <w:highlight w:val="yellow"/>
        </w:rPr>
      </w:pPr>
      <w:r w:rsidRPr="00AF7381">
        <w:rPr>
          <w:highlight w:val="yellow"/>
        </w:rPr>
        <w:t>“When were you last there?”</w:t>
      </w:r>
    </w:p>
    <w:p w14:paraId="07F6F687" w14:textId="77777777" w:rsidR="00AF7381" w:rsidRPr="00AF7381" w:rsidRDefault="00AF7381">
      <w:pPr>
        <w:pStyle w:val="ListParagraph"/>
        <w:numPr>
          <w:ilvl w:val="0"/>
          <w:numId w:val="160"/>
        </w:numPr>
        <w:spacing w:after="120"/>
        <w:contextualSpacing w:val="0"/>
        <w:jc w:val="both"/>
        <w:rPr>
          <w:highlight w:val="yellow"/>
        </w:rPr>
      </w:pPr>
      <w:r w:rsidRPr="00AF7381">
        <w:rPr>
          <w:highlight w:val="yellow"/>
        </w:rPr>
        <w:t>“I would like to refer you to _________ service.  May I ask you a few questions to facilitate the referral?”</w:t>
      </w:r>
    </w:p>
    <w:p w14:paraId="285C5044" w14:textId="77777777" w:rsidR="00AF7381" w:rsidRPr="00AF7381" w:rsidRDefault="00AF7381">
      <w:pPr>
        <w:pStyle w:val="ListParagraph"/>
        <w:numPr>
          <w:ilvl w:val="1"/>
          <w:numId w:val="160"/>
        </w:numPr>
        <w:contextualSpacing w:val="0"/>
        <w:jc w:val="both"/>
        <w:rPr>
          <w:highlight w:val="yellow"/>
        </w:rPr>
      </w:pPr>
      <w:r w:rsidRPr="00AF7381">
        <w:rPr>
          <w:highlight w:val="yellow"/>
        </w:rPr>
        <w:t>If the answer is yes, service provider may continue to the HMIS Intake Form.</w:t>
      </w:r>
    </w:p>
    <w:p w14:paraId="78801585" w14:textId="77777777" w:rsidR="00AF7381" w:rsidRPr="00AF7381" w:rsidRDefault="00AF7381" w:rsidP="00AF7381">
      <w:pPr>
        <w:pStyle w:val="ListParagraph"/>
        <w:ind w:left="1440"/>
        <w:contextualSpacing w:val="0"/>
        <w:jc w:val="both"/>
        <w:rPr>
          <w:highlight w:val="yellow"/>
        </w:rPr>
      </w:pPr>
    </w:p>
    <w:p w14:paraId="64C680D5" w14:textId="77777777" w:rsidR="00AF7381" w:rsidRPr="00AF7381" w:rsidRDefault="00AF7381" w:rsidP="00AF7381">
      <w:pPr>
        <w:jc w:val="both"/>
        <w:rPr>
          <w:highlight w:val="yellow"/>
        </w:rPr>
      </w:pPr>
      <w:r w:rsidRPr="00AF7381">
        <w:rPr>
          <w:highlight w:val="yellow"/>
        </w:rPr>
        <w:t>All service providers, CSCoC Hubs, emergency shelters, and Housing Resource Coordinators delivering rental assistance programs will assist households to prevent entry into homelessness whenever possible by connections with prevention and diversion resources available in the community.  All shelters utilize the CSCoC-approved Diversion and Prevention tool during the initial contact with households seeking shelter.  Shelters do not need to prioritize households and households may be referred outside of coordinated entry for immediate access to shelter.</w:t>
      </w:r>
    </w:p>
    <w:p w14:paraId="2E494C6A" w14:textId="77777777" w:rsidR="00AF7381" w:rsidRPr="00AF7381" w:rsidRDefault="00AF7381" w:rsidP="00AF7381">
      <w:pPr>
        <w:jc w:val="both"/>
        <w:rPr>
          <w:highlight w:val="yellow"/>
        </w:rPr>
      </w:pPr>
    </w:p>
    <w:p w14:paraId="4D053A9A" w14:textId="77777777" w:rsidR="00AF7381" w:rsidRPr="00AF7381" w:rsidRDefault="00AF7381" w:rsidP="00AF7381">
      <w:pPr>
        <w:jc w:val="both"/>
        <w:rPr>
          <w:highlight w:val="yellow"/>
        </w:rPr>
      </w:pPr>
      <w:r w:rsidRPr="00AF7381">
        <w:rPr>
          <w:highlight w:val="yellow"/>
        </w:rPr>
        <w:t>If CSCoC or ESG funds include funding for homeless prevention, households with court-ordered eviction notices are prioritized for assistance.  These funds may also be used to assist households in receipt of 3-day Pay or Quit Notices.  Referrals may also be made from service providers to congregations with discretionary dollars for homeless prevention funding to be approved for rental assistance.</w:t>
      </w:r>
    </w:p>
    <w:p w14:paraId="5CA5F358" w14:textId="77777777" w:rsidR="00AF7381" w:rsidRPr="00AF7381" w:rsidRDefault="00AF7381" w:rsidP="00AF7381">
      <w:pPr>
        <w:jc w:val="both"/>
        <w:rPr>
          <w:highlight w:val="yellow"/>
        </w:rPr>
      </w:pPr>
    </w:p>
    <w:p w14:paraId="65756928" w14:textId="77777777" w:rsidR="00AF7381" w:rsidRPr="004B7B0B" w:rsidRDefault="00AF7381" w:rsidP="00AF7381">
      <w:pPr>
        <w:pStyle w:val="Heading2"/>
        <w:rPr>
          <w:color w:val="0070C0"/>
          <w:highlight w:val="yellow"/>
        </w:rPr>
      </w:pPr>
      <w:bookmarkStart w:id="60" w:name="_Toc34043197"/>
      <w:bookmarkStart w:id="61" w:name="_Toc124254998"/>
      <w:r w:rsidRPr="004B7B0B">
        <w:rPr>
          <w:color w:val="0070C0"/>
          <w:highlight w:val="yellow"/>
        </w:rPr>
        <w:lastRenderedPageBreak/>
        <w:t>Required Information During the Assessment Process</w:t>
      </w:r>
      <w:bookmarkEnd w:id="60"/>
      <w:bookmarkEnd w:id="61"/>
    </w:p>
    <w:p w14:paraId="64501CD7" w14:textId="77777777" w:rsidR="00AF7381" w:rsidRPr="00AF7381" w:rsidRDefault="00AF7381" w:rsidP="00AF7381">
      <w:pPr>
        <w:spacing w:after="120"/>
        <w:jc w:val="both"/>
        <w:rPr>
          <w:highlight w:val="yellow"/>
        </w:rPr>
      </w:pPr>
      <w:r w:rsidRPr="00AF7381">
        <w:rPr>
          <w:highlight w:val="yellow"/>
        </w:rPr>
        <w:t>The assessment process will not require disclosure of any specific disabilities or diagnoses.  The assessment may attempt to collect specific information about a household member’s diagnoses or disabilities, but only what is necessary to determine program eligibility to make appropriate referrals, or what is necessary to provide reasonable accommodations for the household members being served.</w:t>
      </w:r>
    </w:p>
    <w:p w14:paraId="706F40DD" w14:textId="77777777" w:rsidR="00AF7381" w:rsidRPr="00AF7381" w:rsidRDefault="00AF7381" w:rsidP="00AF7381">
      <w:pPr>
        <w:jc w:val="both"/>
        <w:rPr>
          <w:highlight w:val="yellow"/>
        </w:rPr>
      </w:pPr>
      <w:r w:rsidRPr="00AF7381">
        <w:rPr>
          <w:highlight w:val="yellow"/>
        </w:rPr>
        <w:t>The CSCoC’s assessment practices collect information in several major categories:</w:t>
      </w:r>
    </w:p>
    <w:p w14:paraId="7718598A" w14:textId="77777777" w:rsidR="00AF7381" w:rsidRPr="00AF7381" w:rsidRDefault="00AF7381">
      <w:pPr>
        <w:pStyle w:val="ListParagraph"/>
        <w:numPr>
          <w:ilvl w:val="0"/>
          <w:numId w:val="161"/>
        </w:numPr>
        <w:spacing w:after="120"/>
        <w:contextualSpacing w:val="0"/>
        <w:rPr>
          <w:highlight w:val="yellow"/>
        </w:rPr>
      </w:pPr>
      <w:r w:rsidRPr="00AF7381">
        <w:rPr>
          <w:highlight w:val="yellow"/>
        </w:rPr>
        <w:t>Identifiers, characteristics, and attributes</w:t>
      </w:r>
    </w:p>
    <w:p w14:paraId="7C2FFBB0" w14:textId="77777777" w:rsidR="00AF7381" w:rsidRPr="00AF7381" w:rsidRDefault="00AF7381">
      <w:pPr>
        <w:pStyle w:val="ListParagraph"/>
        <w:numPr>
          <w:ilvl w:val="0"/>
          <w:numId w:val="161"/>
        </w:numPr>
        <w:spacing w:after="120"/>
        <w:contextualSpacing w:val="0"/>
        <w:rPr>
          <w:highlight w:val="yellow"/>
        </w:rPr>
      </w:pPr>
      <w:r w:rsidRPr="00AF7381">
        <w:rPr>
          <w:highlight w:val="yellow"/>
        </w:rPr>
        <w:t>Family members and dependents</w:t>
      </w:r>
    </w:p>
    <w:p w14:paraId="57D7992E" w14:textId="77777777" w:rsidR="00AF7381" w:rsidRPr="00AF7381" w:rsidRDefault="00AF7381">
      <w:pPr>
        <w:pStyle w:val="ListParagraph"/>
        <w:numPr>
          <w:ilvl w:val="0"/>
          <w:numId w:val="161"/>
        </w:numPr>
        <w:spacing w:after="120"/>
        <w:contextualSpacing w:val="0"/>
        <w:rPr>
          <w:highlight w:val="yellow"/>
        </w:rPr>
      </w:pPr>
      <w:r w:rsidRPr="00AF7381">
        <w:rPr>
          <w:highlight w:val="yellow"/>
        </w:rPr>
        <w:t>Housing and homeless history</w:t>
      </w:r>
    </w:p>
    <w:p w14:paraId="051C5880" w14:textId="77777777" w:rsidR="00AF7381" w:rsidRPr="00AF7381" w:rsidRDefault="00AF7381">
      <w:pPr>
        <w:pStyle w:val="ListParagraph"/>
        <w:numPr>
          <w:ilvl w:val="0"/>
          <w:numId w:val="161"/>
        </w:numPr>
        <w:spacing w:after="120"/>
        <w:contextualSpacing w:val="0"/>
        <w:rPr>
          <w:highlight w:val="yellow"/>
        </w:rPr>
      </w:pPr>
      <w:r w:rsidRPr="00AF7381">
        <w:rPr>
          <w:highlight w:val="yellow"/>
        </w:rPr>
        <w:t>Employment history</w:t>
      </w:r>
    </w:p>
    <w:p w14:paraId="2B7BD15C" w14:textId="77777777" w:rsidR="00AF7381" w:rsidRPr="00AF7381" w:rsidRDefault="00AF7381">
      <w:pPr>
        <w:pStyle w:val="ListParagraph"/>
        <w:numPr>
          <w:ilvl w:val="0"/>
          <w:numId w:val="161"/>
        </w:numPr>
        <w:spacing w:after="120"/>
        <w:contextualSpacing w:val="0"/>
        <w:rPr>
          <w:highlight w:val="yellow"/>
        </w:rPr>
      </w:pPr>
      <w:r w:rsidRPr="00AF7381">
        <w:rPr>
          <w:highlight w:val="yellow"/>
        </w:rPr>
        <w:t>Legal history</w:t>
      </w:r>
    </w:p>
    <w:p w14:paraId="481B8C5D" w14:textId="77777777" w:rsidR="00AF7381" w:rsidRPr="00AF7381" w:rsidRDefault="00AF7381">
      <w:pPr>
        <w:pStyle w:val="ListParagraph"/>
        <w:numPr>
          <w:ilvl w:val="0"/>
          <w:numId w:val="161"/>
        </w:numPr>
        <w:spacing w:after="120"/>
        <w:contextualSpacing w:val="0"/>
        <w:rPr>
          <w:highlight w:val="yellow"/>
        </w:rPr>
      </w:pPr>
      <w:r w:rsidRPr="00AF7381">
        <w:rPr>
          <w:highlight w:val="yellow"/>
        </w:rPr>
        <w:t>Physical and behavioral health considerations that can indicate vulnerability</w:t>
      </w:r>
    </w:p>
    <w:p w14:paraId="63E4B2BC" w14:textId="77777777" w:rsidR="00AF7381" w:rsidRPr="00AF7381" w:rsidRDefault="00AF7381">
      <w:pPr>
        <w:pStyle w:val="ListParagraph"/>
        <w:numPr>
          <w:ilvl w:val="0"/>
          <w:numId w:val="161"/>
        </w:numPr>
        <w:contextualSpacing w:val="0"/>
        <w:rPr>
          <w:highlight w:val="yellow"/>
        </w:rPr>
      </w:pPr>
      <w:r w:rsidRPr="00AF7381">
        <w:rPr>
          <w:highlight w:val="yellow"/>
        </w:rPr>
        <w:t>Goals and preferences</w:t>
      </w:r>
    </w:p>
    <w:p w14:paraId="57A9C62A" w14:textId="77777777" w:rsidR="00AF7381" w:rsidRPr="00AF7381" w:rsidRDefault="00AF7381" w:rsidP="00AF7381">
      <w:pPr>
        <w:pStyle w:val="ListParagraph"/>
        <w:contextualSpacing w:val="0"/>
        <w:rPr>
          <w:highlight w:val="yellow"/>
        </w:rPr>
      </w:pPr>
    </w:p>
    <w:p w14:paraId="27241A5E" w14:textId="77777777" w:rsidR="00AF7381" w:rsidRPr="00AF7381" w:rsidRDefault="00AF7381" w:rsidP="00AF7381">
      <w:pPr>
        <w:jc w:val="both"/>
        <w:rPr>
          <w:highlight w:val="yellow"/>
        </w:rPr>
      </w:pPr>
      <w:r w:rsidRPr="00AF7381">
        <w:rPr>
          <w:highlight w:val="yellow"/>
        </w:rPr>
        <w:t>These categories focus on identifying and documenting the household’s housing crisis, as well as the household’s barriers to being rapidly housed and their level of vulnerability.  Household assessment focuses on:</w:t>
      </w:r>
    </w:p>
    <w:p w14:paraId="2F144B36" w14:textId="77777777" w:rsidR="00AF7381" w:rsidRPr="00AF7381" w:rsidRDefault="00AF7381">
      <w:pPr>
        <w:pStyle w:val="ListParagraph"/>
        <w:numPr>
          <w:ilvl w:val="0"/>
          <w:numId w:val="167"/>
        </w:numPr>
        <w:jc w:val="both"/>
        <w:rPr>
          <w:highlight w:val="yellow"/>
        </w:rPr>
      </w:pPr>
      <w:r w:rsidRPr="00AF7381">
        <w:rPr>
          <w:highlight w:val="yellow"/>
        </w:rPr>
        <w:t>Immediate health and safety needs relevant to providing accommodations; and</w:t>
      </w:r>
    </w:p>
    <w:p w14:paraId="38961FE6" w14:textId="77777777" w:rsidR="00AF7381" w:rsidRPr="00AF7381" w:rsidRDefault="00AF7381">
      <w:pPr>
        <w:pStyle w:val="ListParagraph"/>
        <w:numPr>
          <w:ilvl w:val="0"/>
          <w:numId w:val="167"/>
        </w:numPr>
        <w:jc w:val="both"/>
        <w:rPr>
          <w:highlight w:val="yellow"/>
        </w:rPr>
      </w:pPr>
      <w:r w:rsidRPr="00AF7381">
        <w:rPr>
          <w:highlight w:val="yellow"/>
        </w:rPr>
        <w:t xml:space="preserve">Information relevant to securing housing, </w:t>
      </w:r>
      <w:proofErr w:type="gramStart"/>
      <w:r w:rsidRPr="00AF7381">
        <w:rPr>
          <w:highlight w:val="yellow"/>
        </w:rPr>
        <w:t>including:</w:t>
      </w:r>
      <w:proofErr w:type="gramEnd"/>
      <w:r w:rsidRPr="00AF7381">
        <w:rPr>
          <w:highlight w:val="yellow"/>
        </w:rPr>
        <w:t xml:space="preserve">  factors that would cause a landlord to reject the household’s application (past evictions, etc.); factors that directly led to housing instability or homelessness in the past (failure to pay rent, lease violations, etc.,); and other information necessary to link households to financial assistance and housing-related resources.  Household assessment focuses on barriers to obtaining and/or maintaining housing (e.g., past rental/credit/criminal history, current income, legal issues, knowledge of tenant rights and responsibilities, etc.).  </w:t>
      </w:r>
    </w:p>
    <w:p w14:paraId="725286C1" w14:textId="77777777" w:rsidR="00AF7381" w:rsidRPr="00AF7381" w:rsidRDefault="00AF7381" w:rsidP="00AF7381">
      <w:pPr>
        <w:pStyle w:val="ListParagraph"/>
        <w:jc w:val="both"/>
        <w:rPr>
          <w:highlight w:val="yellow"/>
        </w:rPr>
      </w:pPr>
    </w:p>
    <w:p w14:paraId="63088FE6" w14:textId="77777777" w:rsidR="00AF7381" w:rsidRPr="00AF7381" w:rsidRDefault="00AF7381" w:rsidP="00AF7381">
      <w:pPr>
        <w:jc w:val="both"/>
        <w:rPr>
          <w:highlight w:val="yellow"/>
        </w:rPr>
      </w:pPr>
      <w:r w:rsidRPr="00AF7381">
        <w:rPr>
          <w:highlight w:val="yellow"/>
        </w:rPr>
        <w:t>Coordinated entry implementation may be performed in stages to collect this information over a series of assessments, as the information is needed to make decisions about referrals.</w:t>
      </w:r>
    </w:p>
    <w:p w14:paraId="5A855913" w14:textId="77777777" w:rsidR="00AF7381" w:rsidRPr="00AF7381" w:rsidRDefault="00AF7381" w:rsidP="00AF7381">
      <w:pPr>
        <w:jc w:val="both"/>
        <w:rPr>
          <w:highlight w:val="yellow"/>
        </w:rPr>
      </w:pPr>
    </w:p>
    <w:p w14:paraId="48B704AB" w14:textId="77777777" w:rsidR="00AF7381" w:rsidRPr="00AF7381" w:rsidRDefault="00AF7381" w:rsidP="00AF7381">
      <w:pPr>
        <w:jc w:val="both"/>
        <w:rPr>
          <w:highlight w:val="yellow"/>
        </w:rPr>
      </w:pPr>
      <w:r w:rsidRPr="00AF7381">
        <w:rPr>
          <w:highlight w:val="yellow"/>
        </w:rPr>
        <w:t xml:space="preserve">All households have the right to refuse to share their information among CSCoC service providers.  Some information, however, may be required by a project, by public or private funders to determine eligibility for housing or services, or to assess needed services, and must be collected.  In cases where a household does not consent to having information shared, the information must still be collected by the service provider to determine whether the household is eligible for services, but it </w:t>
      </w:r>
      <w:r w:rsidRPr="00AF7381">
        <w:rPr>
          <w:highlight w:val="yellow"/>
          <w:u w:val="single"/>
        </w:rPr>
        <w:t>shall not be shared</w:t>
      </w:r>
      <w:r w:rsidRPr="00AF7381">
        <w:rPr>
          <w:highlight w:val="yellow"/>
        </w:rPr>
        <w:t xml:space="preserve"> via HMIS if the household objects.</w:t>
      </w:r>
    </w:p>
    <w:p w14:paraId="303AFB00" w14:textId="77777777" w:rsidR="00AF7381" w:rsidRPr="00AF7381" w:rsidRDefault="00AF7381" w:rsidP="00AF7381">
      <w:pPr>
        <w:jc w:val="both"/>
        <w:rPr>
          <w:highlight w:val="yellow"/>
        </w:rPr>
      </w:pPr>
    </w:p>
    <w:p w14:paraId="61BBF189" w14:textId="77777777" w:rsidR="00AF7381" w:rsidRPr="004B7B0B" w:rsidRDefault="00AF7381" w:rsidP="00AF7381">
      <w:pPr>
        <w:pStyle w:val="Heading2"/>
        <w:rPr>
          <w:color w:val="0070C0"/>
          <w:highlight w:val="yellow"/>
        </w:rPr>
      </w:pPr>
      <w:bookmarkStart w:id="62" w:name="_Toc34043198"/>
      <w:bookmarkStart w:id="63" w:name="_Toc124254999"/>
      <w:r w:rsidRPr="004B7B0B">
        <w:rPr>
          <w:color w:val="0070C0"/>
          <w:highlight w:val="yellow"/>
        </w:rPr>
        <w:lastRenderedPageBreak/>
        <w:t>Practical Use of the Assessment Tool</w:t>
      </w:r>
      <w:bookmarkEnd w:id="62"/>
      <w:bookmarkEnd w:id="63"/>
    </w:p>
    <w:p w14:paraId="022DFA00" w14:textId="77777777" w:rsidR="00AF7381" w:rsidRPr="00AF7381" w:rsidRDefault="00AF7381" w:rsidP="00AF7381">
      <w:pPr>
        <w:jc w:val="both"/>
        <w:rPr>
          <w:highlight w:val="yellow"/>
        </w:rPr>
      </w:pPr>
      <w:r w:rsidRPr="00AF7381">
        <w:rPr>
          <w:highlight w:val="yellow"/>
        </w:rPr>
        <w:t>Survey forms are available for Households of Adults Only or Households with Children.  The form for Adults Only hides the fields about children.  The survey generates a “Short Score” which can be used to prioritize households for the long assessment survey.  The survey can also be skipped in favor of the long survey, and this is required whenever feasible.  The survey form incorporates the above and adds additional fields to generate the final score.</w:t>
      </w:r>
    </w:p>
    <w:p w14:paraId="38DC94B0" w14:textId="77777777" w:rsidR="00AF7381" w:rsidRPr="00AF7381" w:rsidRDefault="00AF7381" w:rsidP="00AF7381">
      <w:pPr>
        <w:jc w:val="both"/>
        <w:rPr>
          <w:highlight w:val="yellow"/>
        </w:rPr>
      </w:pPr>
    </w:p>
    <w:p w14:paraId="0140F0BF" w14:textId="77777777" w:rsidR="00AF7381" w:rsidRPr="00AF7381" w:rsidRDefault="00AF7381" w:rsidP="00AF7381">
      <w:pPr>
        <w:jc w:val="both"/>
        <w:rPr>
          <w:highlight w:val="yellow"/>
        </w:rPr>
      </w:pPr>
      <w:r w:rsidRPr="00AF7381">
        <w:rPr>
          <w:highlight w:val="yellow"/>
        </w:rPr>
        <w:t>All responses to the assessment must be saved when navigating away from the coordinated entry survey screen for the scores to be saved within HMIS and attached to the household record.  The CES will consistently assess all households using the Modified VI-SPDAT.  This tool was selected based on CSCoC’s satisfaction that it met the following characteristics:</w:t>
      </w:r>
    </w:p>
    <w:p w14:paraId="33607A79" w14:textId="77777777" w:rsidR="00AF7381" w:rsidRPr="00AF7381" w:rsidRDefault="00AF7381">
      <w:pPr>
        <w:pStyle w:val="ListParagraph"/>
        <w:numPr>
          <w:ilvl w:val="0"/>
          <w:numId w:val="162"/>
        </w:numPr>
        <w:spacing w:after="120"/>
        <w:contextualSpacing w:val="0"/>
        <w:rPr>
          <w:highlight w:val="yellow"/>
        </w:rPr>
      </w:pPr>
      <w:r w:rsidRPr="00AF7381">
        <w:rPr>
          <w:highlight w:val="yellow"/>
        </w:rPr>
        <w:t>Tested, valid, and appropriate.</w:t>
      </w:r>
    </w:p>
    <w:p w14:paraId="17473872" w14:textId="77777777" w:rsidR="00AF7381" w:rsidRPr="00AF7381" w:rsidRDefault="00AF7381">
      <w:pPr>
        <w:pStyle w:val="ListParagraph"/>
        <w:numPr>
          <w:ilvl w:val="0"/>
          <w:numId w:val="162"/>
        </w:numPr>
        <w:spacing w:after="120"/>
        <w:contextualSpacing w:val="0"/>
        <w:rPr>
          <w:highlight w:val="yellow"/>
        </w:rPr>
      </w:pPr>
      <w:r w:rsidRPr="00AF7381">
        <w:rPr>
          <w:highlight w:val="yellow"/>
        </w:rPr>
        <w:t>Reliable (provide consistent results).</w:t>
      </w:r>
    </w:p>
    <w:p w14:paraId="224D2D25" w14:textId="77777777" w:rsidR="00AF7381" w:rsidRPr="00AF7381" w:rsidRDefault="00AF7381">
      <w:pPr>
        <w:pStyle w:val="ListParagraph"/>
        <w:numPr>
          <w:ilvl w:val="0"/>
          <w:numId w:val="162"/>
        </w:numPr>
        <w:spacing w:after="120"/>
        <w:contextualSpacing w:val="0"/>
        <w:rPr>
          <w:highlight w:val="yellow"/>
        </w:rPr>
      </w:pPr>
      <w:r w:rsidRPr="00AF7381">
        <w:rPr>
          <w:highlight w:val="yellow"/>
        </w:rPr>
        <w:t>Comprehensive (provide access to all housing and supportive services within the CoC).</w:t>
      </w:r>
    </w:p>
    <w:p w14:paraId="05C9975C" w14:textId="77777777" w:rsidR="00AF7381" w:rsidRPr="00AF7381" w:rsidRDefault="00AF7381">
      <w:pPr>
        <w:pStyle w:val="ListParagraph"/>
        <w:numPr>
          <w:ilvl w:val="0"/>
          <w:numId w:val="162"/>
        </w:numPr>
        <w:spacing w:after="120"/>
        <w:contextualSpacing w:val="0"/>
        <w:rPr>
          <w:highlight w:val="yellow"/>
        </w:rPr>
      </w:pPr>
      <w:r w:rsidRPr="00AF7381">
        <w:rPr>
          <w:highlight w:val="yellow"/>
        </w:rPr>
        <w:t>Household-centered (focused on resolving the household’s needs, instead of filling project vacancies).</w:t>
      </w:r>
    </w:p>
    <w:p w14:paraId="21C05504" w14:textId="77777777" w:rsidR="00AF7381" w:rsidRPr="00AF7381" w:rsidRDefault="00AF7381">
      <w:pPr>
        <w:pStyle w:val="ListParagraph"/>
        <w:numPr>
          <w:ilvl w:val="0"/>
          <w:numId w:val="162"/>
        </w:numPr>
        <w:spacing w:after="120"/>
        <w:contextualSpacing w:val="0"/>
        <w:rPr>
          <w:highlight w:val="yellow"/>
        </w:rPr>
      </w:pPr>
      <w:r w:rsidRPr="00AF7381">
        <w:rPr>
          <w:highlight w:val="yellow"/>
        </w:rPr>
        <w:t>User-friendly for both the household being assessed and the assessor.</w:t>
      </w:r>
    </w:p>
    <w:p w14:paraId="6A8A3934" w14:textId="77777777" w:rsidR="00AF7381" w:rsidRPr="00AF7381" w:rsidRDefault="00AF7381">
      <w:pPr>
        <w:pStyle w:val="ListParagraph"/>
        <w:numPr>
          <w:ilvl w:val="0"/>
          <w:numId w:val="162"/>
        </w:numPr>
        <w:spacing w:after="120"/>
        <w:contextualSpacing w:val="0"/>
        <w:rPr>
          <w:highlight w:val="yellow"/>
        </w:rPr>
      </w:pPr>
      <w:r w:rsidRPr="00AF7381">
        <w:rPr>
          <w:highlight w:val="yellow"/>
        </w:rPr>
        <w:t>Strengths-based (focused on the household barriers to and strengths for obtaining sustainable housing).</w:t>
      </w:r>
    </w:p>
    <w:p w14:paraId="53C171AB" w14:textId="77777777" w:rsidR="00AF7381" w:rsidRPr="00AF7381" w:rsidRDefault="00AF7381">
      <w:pPr>
        <w:pStyle w:val="ListParagraph"/>
        <w:numPr>
          <w:ilvl w:val="0"/>
          <w:numId w:val="162"/>
        </w:numPr>
        <w:spacing w:after="120"/>
        <w:contextualSpacing w:val="0"/>
        <w:rPr>
          <w:highlight w:val="yellow"/>
        </w:rPr>
      </w:pPr>
      <w:r w:rsidRPr="00AF7381">
        <w:rPr>
          <w:highlight w:val="yellow"/>
        </w:rPr>
        <w:t xml:space="preserve">Housing </w:t>
      </w:r>
      <w:proofErr w:type="gramStart"/>
      <w:r w:rsidRPr="00AF7381">
        <w:rPr>
          <w:highlight w:val="yellow"/>
        </w:rPr>
        <w:t>First-oriented</w:t>
      </w:r>
      <w:proofErr w:type="gramEnd"/>
      <w:r w:rsidRPr="00AF7381">
        <w:rPr>
          <w:highlight w:val="yellow"/>
        </w:rPr>
        <w:t xml:space="preserve"> (focused on rapidly housing participants without preconditions).</w:t>
      </w:r>
    </w:p>
    <w:p w14:paraId="3F329353" w14:textId="77777777" w:rsidR="00AF7381" w:rsidRPr="00AF7381" w:rsidRDefault="00AF7381">
      <w:pPr>
        <w:pStyle w:val="ListParagraph"/>
        <w:numPr>
          <w:ilvl w:val="0"/>
          <w:numId w:val="162"/>
        </w:numPr>
        <w:spacing w:after="120"/>
        <w:contextualSpacing w:val="0"/>
        <w:rPr>
          <w:highlight w:val="yellow"/>
        </w:rPr>
      </w:pPr>
      <w:r w:rsidRPr="00AF7381">
        <w:rPr>
          <w:highlight w:val="yellow"/>
        </w:rPr>
        <w:t>Sensitive to lived experiences (culturally and situationally sensitive, focused on reducing trauma and harm).</w:t>
      </w:r>
    </w:p>
    <w:p w14:paraId="124AA7B4" w14:textId="77777777" w:rsidR="00AF7381" w:rsidRPr="00AF7381" w:rsidRDefault="00AF7381">
      <w:pPr>
        <w:pStyle w:val="ListParagraph"/>
        <w:numPr>
          <w:ilvl w:val="0"/>
          <w:numId w:val="162"/>
        </w:numPr>
        <w:contextualSpacing w:val="0"/>
        <w:rPr>
          <w:highlight w:val="yellow"/>
        </w:rPr>
      </w:pPr>
      <w:r w:rsidRPr="00AF7381">
        <w:rPr>
          <w:highlight w:val="yellow"/>
        </w:rPr>
        <w:t>Transparent in the relationship between the questions being asked and the potential options for housing and supportive services.</w:t>
      </w:r>
    </w:p>
    <w:p w14:paraId="551061FB" w14:textId="77777777" w:rsidR="00AF7381" w:rsidRPr="00AF7381" w:rsidRDefault="00AF7381" w:rsidP="00AF7381">
      <w:pPr>
        <w:pStyle w:val="ListParagraph"/>
        <w:contextualSpacing w:val="0"/>
        <w:rPr>
          <w:highlight w:val="yellow"/>
        </w:rPr>
      </w:pPr>
    </w:p>
    <w:p w14:paraId="708BBFDC" w14:textId="77777777" w:rsidR="00AF7381" w:rsidRPr="00AF7381" w:rsidRDefault="00AF7381" w:rsidP="00AF7381">
      <w:pPr>
        <w:jc w:val="both"/>
        <w:rPr>
          <w:highlight w:val="yellow"/>
        </w:rPr>
      </w:pPr>
      <w:r w:rsidRPr="00AF7381">
        <w:rPr>
          <w:highlight w:val="yellow"/>
        </w:rPr>
        <w:t>Application of the Modified VI-SPDAT may not produce the entire body of information necessary to determine a household’s prioritization, either because of the nature of self-reporting, withheld information, or circumstances outside the scope of assessment questions.  Therefore, service providers who work with households may provide additional information, through case conferencing or otherwise, that appears relevant to the written prioritization policies.</w:t>
      </w:r>
    </w:p>
    <w:p w14:paraId="3C4C476B" w14:textId="683FE22A" w:rsidR="00AF7381" w:rsidRDefault="00AF7381" w:rsidP="00AF7381">
      <w:pPr>
        <w:jc w:val="both"/>
        <w:rPr>
          <w:highlight w:val="yellow"/>
        </w:rPr>
      </w:pPr>
    </w:p>
    <w:p w14:paraId="75D46010" w14:textId="77777777" w:rsidR="00F90BC7" w:rsidRPr="00AF7381" w:rsidRDefault="00F90BC7" w:rsidP="00AF7381">
      <w:pPr>
        <w:jc w:val="both"/>
        <w:rPr>
          <w:highlight w:val="yellow"/>
        </w:rPr>
      </w:pPr>
    </w:p>
    <w:p w14:paraId="555CAE4F" w14:textId="77777777" w:rsidR="00AF7381" w:rsidRPr="004B7B0B" w:rsidRDefault="00AF7381" w:rsidP="00AF7381">
      <w:pPr>
        <w:pStyle w:val="Heading2"/>
        <w:rPr>
          <w:color w:val="0070C0"/>
          <w:highlight w:val="yellow"/>
        </w:rPr>
      </w:pPr>
      <w:bookmarkStart w:id="64" w:name="_Toc34043199"/>
      <w:bookmarkStart w:id="65" w:name="_Toc124255000"/>
      <w:r w:rsidRPr="004B7B0B">
        <w:rPr>
          <w:color w:val="0070C0"/>
          <w:highlight w:val="yellow"/>
        </w:rPr>
        <w:t>Contact Information</w:t>
      </w:r>
      <w:bookmarkEnd w:id="64"/>
      <w:bookmarkEnd w:id="65"/>
    </w:p>
    <w:p w14:paraId="5F97EFC1" w14:textId="77777777" w:rsidR="00AF7381" w:rsidRPr="00AF7381" w:rsidRDefault="00AF7381" w:rsidP="00AF7381">
      <w:pPr>
        <w:jc w:val="both"/>
        <w:rPr>
          <w:highlight w:val="yellow"/>
        </w:rPr>
      </w:pPr>
      <w:r w:rsidRPr="00AF7381">
        <w:rPr>
          <w:highlight w:val="yellow"/>
        </w:rPr>
        <w:t>Service provider authorized to conduct assessments shall collect contact information from all interviewees and inform those households that it is their duty as a project participant to keep program service provider appraised of any updates to that contact information.</w:t>
      </w:r>
    </w:p>
    <w:p w14:paraId="62D59DE5" w14:textId="77777777" w:rsidR="00AF7381" w:rsidRPr="00AF7381" w:rsidRDefault="00AF7381" w:rsidP="00AF7381">
      <w:pPr>
        <w:jc w:val="both"/>
        <w:rPr>
          <w:highlight w:val="yellow"/>
        </w:rPr>
      </w:pPr>
    </w:p>
    <w:p w14:paraId="381751C7" w14:textId="77777777" w:rsidR="00AF7381" w:rsidRPr="004B7B0B" w:rsidRDefault="00AF7381" w:rsidP="00AF7381">
      <w:pPr>
        <w:pStyle w:val="Heading2"/>
        <w:rPr>
          <w:color w:val="0070C0"/>
          <w:highlight w:val="yellow"/>
        </w:rPr>
      </w:pPr>
      <w:bookmarkStart w:id="66" w:name="_Toc34043200"/>
      <w:bookmarkStart w:id="67" w:name="_Toc124255001"/>
      <w:r w:rsidRPr="004B7B0B">
        <w:rPr>
          <w:color w:val="0070C0"/>
          <w:highlight w:val="yellow"/>
        </w:rPr>
        <w:lastRenderedPageBreak/>
        <w:t>Assessment in Phases</w:t>
      </w:r>
      <w:bookmarkEnd w:id="66"/>
      <w:bookmarkEnd w:id="67"/>
    </w:p>
    <w:p w14:paraId="71A9153C" w14:textId="77777777" w:rsidR="00AF7381" w:rsidRPr="00AF7381" w:rsidRDefault="00AF7381" w:rsidP="00AF7381">
      <w:pPr>
        <w:jc w:val="both"/>
        <w:rPr>
          <w:highlight w:val="yellow"/>
        </w:rPr>
      </w:pPr>
      <w:r w:rsidRPr="00AF7381">
        <w:rPr>
          <w:highlight w:val="yellow"/>
        </w:rPr>
        <w:t xml:space="preserve">Assessment tools and activities can be incorporated at any of several stages throughout a household’s interaction with the coordinated entry process.  The goal is to build an accurate and concise picture of that household’s needs and preferences in order to connect them to an appropriate intervention.  Assessments completed in phases may be most efficient and effective in achieving this goal.  </w:t>
      </w:r>
    </w:p>
    <w:p w14:paraId="7EA085BF" w14:textId="77777777" w:rsidR="00AF7381" w:rsidRPr="00AF7381" w:rsidRDefault="00AF7381" w:rsidP="00AF7381">
      <w:pPr>
        <w:jc w:val="both"/>
        <w:rPr>
          <w:highlight w:val="yellow"/>
        </w:rPr>
      </w:pPr>
    </w:p>
    <w:p w14:paraId="6F37E067" w14:textId="77777777" w:rsidR="00AF7381" w:rsidRPr="00AF7381" w:rsidRDefault="00AF7381" w:rsidP="00AF7381">
      <w:pPr>
        <w:jc w:val="both"/>
        <w:rPr>
          <w:highlight w:val="yellow"/>
        </w:rPr>
      </w:pPr>
      <w:r w:rsidRPr="00AF7381">
        <w:rPr>
          <w:highlight w:val="yellow"/>
        </w:rPr>
        <w:t xml:space="preserve">A phased approach does not presuppose that assessment must occur at every stage nor be completed in sequence before a household is able to resolve the housing crisis, although at each progressive stage, completion might be appropriate depending on the household’s specific circumstances.  Collapsing or integrating stages in assessment may be appropriate depending on the access points and roles defined for service providers.  At any stage among those listed below, the coordinated entry process might have enough assessment information to connect or refer a household to a permanent housing placement: </w:t>
      </w:r>
    </w:p>
    <w:p w14:paraId="4DA8BE89" w14:textId="77777777" w:rsidR="00AF7381" w:rsidRPr="00AF7381" w:rsidRDefault="00AF7381">
      <w:pPr>
        <w:pStyle w:val="ListParagraph"/>
        <w:numPr>
          <w:ilvl w:val="0"/>
          <w:numId w:val="163"/>
        </w:numPr>
        <w:spacing w:after="120"/>
        <w:contextualSpacing w:val="0"/>
        <w:jc w:val="both"/>
        <w:rPr>
          <w:highlight w:val="yellow"/>
        </w:rPr>
      </w:pPr>
      <w:r w:rsidRPr="00AF7381">
        <w:rPr>
          <w:highlight w:val="yellow"/>
          <w:u w:val="single"/>
        </w:rPr>
        <w:t>Initial triage</w:t>
      </w:r>
      <w:r w:rsidRPr="00AF7381">
        <w:rPr>
          <w:highlight w:val="yellow"/>
        </w:rPr>
        <w:t xml:space="preserve"> – likely focused on defining the nature of the current crisis and ensuring the household’s immediate safety.</w:t>
      </w:r>
    </w:p>
    <w:p w14:paraId="5DA275FE" w14:textId="77777777" w:rsidR="00AF7381" w:rsidRPr="00AF7381" w:rsidRDefault="00AF7381">
      <w:pPr>
        <w:pStyle w:val="ListParagraph"/>
        <w:numPr>
          <w:ilvl w:val="0"/>
          <w:numId w:val="163"/>
        </w:numPr>
        <w:spacing w:after="120"/>
        <w:contextualSpacing w:val="0"/>
        <w:jc w:val="both"/>
        <w:rPr>
          <w:highlight w:val="yellow"/>
        </w:rPr>
      </w:pPr>
      <w:r w:rsidRPr="00AF7381">
        <w:rPr>
          <w:highlight w:val="yellow"/>
          <w:u w:val="single"/>
        </w:rPr>
        <w:t>Diversion</w:t>
      </w:r>
      <w:r w:rsidRPr="00AF7381">
        <w:rPr>
          <w:highlight w:val="yellow"/>
        </w:rPr>
        <w:t xml:space="preserve"> – can occur as part of initial triage or separately; is likely focused on assisting the household to examine their resources and options other than entering the homeless system.</w:t>
      </w:r>
    </w:p>
    <w:p w14:paraId="3C958484" w14:textId="77777777" w:rsidR="00AF7381" w:rsidRPr="00AF7381" w:rsidRDefault="00AF7381">
      <w:pPr>
        <w:pStyle w:val="ListParagraph"/>
        <w:numPr>
          <w:ilvl w:val="0"/>
          <w:numId w:val="163"/>
        </w:numPr>
        <w:spacing w:after="120"/>
        <w:contextualSpacing w:val="0"/>
        <w:jc w:val="both"/>
        <w:rPr>
          <w:highlight w:val="yellow"/>
        </w:rPr>
      </w:pPr>
      <w:r w:rsidRPr="00AF7381">
        <w:rPr>
          <w:highlight w:val="yellow"/>
          <w:u w:val="single"/>
        </w:rPr>
        <w:t>Intake</w:t>
      </w:r>
      <w:r w:rsidRPr="00AF7381">
        <w:rPr>
          <w:highlight w:val="yellow"/>
        </w:rPr>
        <w:t xml:space="preserve"> – likely occurs when the household accepts crisis assistance, such as emergency shelter.  Assessment is likely limited to collecting information necessary to enroll the household in a homeless assistance project (i.e.., the homeless assistance project could be coordinated entry itself or an emergency shelter, depending on how the CoC has structured and defined crisis response interventions).</w:t>
      </w:r>
    </w:p>
    <w:p w14:paraId="3A1B4894" w14:textId="089F3ECC" w:rsidR="00AF7381" w:rsidRPr="00695C5B" w:rsidRDefault="00AF7381">
      <w:pPr>
        <w:pStyle w:val="ListParagraph"/>
        <w:numPr>
          <w:ilvl w:val="0"/>
          <w:numId w:val="163"/>
        </w:numPr>
        <w:contextualSpacing w:val="0"/>
        <w:jc w:val="both"/>
        <w:rPr>
          <w:highlight w:val="yellow"/>
        </w:rPr>
      </w:pPr>
      <w:r w:rsidRPr="00695C5B">
        <w:rPr>
          <w:highlight w:val="yellow"/>
          <w:u w:val="single"/>
        </w:rPr>
        <w:t xml:space="preserve">Initial Assessment </w:t>
      </w:r>
      <w:r w:rsidRPr="00695C5B">
        <w:rPr>
          <w:highlight w:val="yellow"/>
        </w:rPr>
        <w:t>– The initial assessment might incorporate a prioritization component that indicates the level of risk, vulnerability, and the household’s barriers, goals and preferences, or need based on the responses to the assessment questions.  The household’s responses to initial assessment can be used to help define risk and prioritize the household for further CSCoC or ESG Program assistance such as street outreach, emergency shelter, rapid rehousing, and PSH.  Some of the initial assessment questions might be asked multiple times throughout project enrollment</w:t>
      </w:r>
      <w:r w:rsidR="00695C5B" w:rsidRPr="00695C5B">
        <w:rPr>
          <w:highlight w:val="yellow"/>
        </w:rPr>
        <w:t xml:space="preserve">. </w:t>
      </w:r>
    </w:p>
    <w:p w14:paraId="43BC2FE8" w14:textId="77777777" w:rsidR="00AF7381" w:rsidRPr="004B7B0B" w:rsidRDefault="00AF7381" w:rsidP="00AF7381">
      <w:pPr>
        <w:pStyle w:val="Heading2"/>
        <w:spacing w:before="0"/>
        <w:rPr>
          <w:color w:val="0070C0"/>
          <w:highlight w:val="yellow"/>
        </w:rPr>
      </w:pPr>
      <w:bookmarkStart w:id="68" w:name="_Toc34043201"/>
      <w:bookmarkStart w:id="69" w:name="_Toc124255002"/>
      <w:r w:rsidRPr="004B7B0B">
        <w:rPr>
          <w:color w:val="0070C0"/>
          <w:highlight w:val="yellow"/>
        </w:rPr>
        <w:t>Assessment Script</w:t>
      </w:r>
      <w:bookmarkEnd w:id="68"/>
      <w:bookmarkEnd w:id="69"/>
    </w:p>
    <w:p w14:paraId="25869E77" w14:textId="77777777" w:rsidR="00AF7381" w:rsidRPr="00AF7381" w:rsidRDefault="00AF7381" w:rsidP="00AF7381">
      <w:pPr>
        <w:spacing w:after="120"/>
        <w:jc w:val="both"/>
        <w:rPr>
          <w:highlight w:val="yellow"/>
        </w:rPr>
      </w:pPr>
      <w:r w:rsidRPr="00AF7381">
        <w:rPr>
          <w:highlight w:val="yellow"/>
        </w:rPr>
        <w:t>Before entering household data into HMIS, the household must be provided an explanation about the option of sharing their information with HMIS by reading the following statement:</w:t>
      </w:r>
    </w:p>
    <w:p w14:paraId="387A0423" w14:textId="77777777" w:rsidR="00AF7381" w:rsidRPr="00AF7381" w:rsidRDefault="00AF7381" w:rsidP="00AF7381">
      <w:pPr>
        <w:ind w:left="1440" w:right="1440"/>
        <w:jc w:val="both"/>
        <w:rPr>
          <w:highlight w:val="yellow"/>
        </w:rPr>
      </w:pPr>
      <w:r w:rsidRPr="00AF7381">
        <w:rPr>
          <w:highlight w:val="yellow"/>
        </w:rPr>
        <w:t>“I need your authorization to share the information you give me with one or more service providers in order to match you with the services that best meet your needs.  Do you authorize us to do so – to proceed with the intake and share your information with service providers?”</w:t>
      </w:r>
    </w:p>
    <w:p w14:paraId="3BFD8270" w14:textId="77777777" w:rsidR="00AF7381" w:rsidRPr="00AF7381" w:rsidRDefault="00AF7381" w:rsidP="00AF7381">
      <w:pPr>
        <w:ind w:left="1440" w:right="1440"/>
        <w:jc w:val="both"/>
        <w:rPr>
          <w:highlight w:val="yellow"/>
        </w:rPr>
      </w:pPr>
    </w:p>
    <w:p w14:paraId="0781E6B8" w14:textId="77777777" w:rsidR="00AF7381" w:rsidRPr="00AF7381" w:rsidRDefault="00AF7381" w:rsidP="00AF7381">
      <w:pPr>
        <w:jc w:val="both"/>
        <w:rPr>
          <w:highlight w:val="yellow"/>
        </w:rPr>
      </w:pPr>
      <w:r w:rsidRPr="00AF7381">
        <w:rPr>
          <w:highlight w:val="yellow"/>
        </w:rPr>
        <w:t>If the household answers “Yes” then the service provider should check “Yes” to indicate that the household has given consent and may then proceed with the intake.  If the household answers “No” then the service provider shall not complete the intake.  The household must then be informed that they may still be eligible to receive housing services, but they may not be matched to services offered by other agencies or programs, since their information cannot be shared.</w:t>
      </w:r>
    </w:p>
    <w:p w14:paraId="5BBB9F00" w14:textId="77777777" w:rsidR="00AF7381" w:rsidRPr="004B7B0B" w:rsidRDefault="00AF7381" w:rsidP="00AF7381">
      <w:pPr>
        <w:pStyle w:val="Heading2"/>
        <w:rPr>
          <w:color w:val="0070C0"/>
          <w:highlight w:val="yellow"/>
        </w:rPr>
      </w:pPr>
      <w:bookmarkStart w:id="70" w:name="_Toc34043202"/>
      <w:bookmarkStart w:id="71" w:name="_Toc124255003"/>
      <w:r w:rsidRPr="004B7B0B">
        <w:rPr>
          <w:color w:val="0070C0"/>
          <w:highlight w:val="yellow"/>
        </w:rPr>
        <w:lastRenderedPageBreak/>
        <w:t>Participant Autonomy</w:t>
      </w:r>
      <w:bookmarkEnd w:id="70"/>
      <w:bookmarkEnd w:id="71"/>
    </w:p>
    <w:p w14:paraId="47CF9DD0" w14:textId="77777777" w:rsidR="00AF7381" w:rsidRPr="00AF7381" w:rsidRDefault="00AF7381" w:rsidP="00AF7381">
      <w:pPr>
        <w:jc w:val="both"/>
        <w:rPr>
          <w:highlight w:val="yellow"/>
        </w:rPr>
      </w:pPr>
      <w:r w:rsidRPr="00AF7381">
        <w:rPr>
          <w:highlight w:val="yellow"/>
        </w:rPr>
        <w:t xml:space="preserve">The coordinated entry process must allow households presenting to the crisis response system to refuse to answer assessment questions and to reject housing and service options offered without suffering retribution or limiting their access to assistance.  Assessment service provider should always engage households in an appropriate and respectful manner to collect only necessary assessment information, but some households might choose not to answer some questions or could be unable to provide complete answers in some circumstances.  The lack of a response to some questions can potentially limit the variety of referral options.  When this is the case, coordinated entry service provider should communicate to those participants the impact of incomplete assessment responses.  Assessment service provider should still make every effort to assess and resolve the household’s housing needs based on a household’s responses to assessment questions no matter how limited those responses.  A household’s unresponsiveness must not affect future assessments or referral options.  </w:t>
      </w:r>
    </w:p>
    <w:p w14:paraId="02E6141A" w14:textId="77777777" w:rsidR="00AF7381" w:rsidRPr="00AF7381" w:rsidRDefault="00AF7381" w:rsidP="00AF7381">
      <w:pPr>
        <w:jc w:val="both"/>
        <w:rPr>
          <w:highlight w:val="yellow"/>
        </w:rPr>
      </w:pPr>
    </w:p>
    <w:p w14:paraId="4F9DCD43" w14:textId="77777777" w:rsidR="00AF7381" w:rsidRPr="00AF7381" w:rsidRDefault="00AF7381" w:rsidP="00AF7381">
      <w:pPr>
        <w:rPr>
          <w:highlight w:val="yellow"/>
        </w:rPr>
      </w:pPr>
      <w:r w:rsidRPr="00AF7381">
        <w:rPr>
          <w:highlight w:val="yellow"/>
        </w:rPr>
        <w:t>All assessments shall begin with service provider using the following script:</w:t>
      </w:r>
    </w:p>
    <w:p w14:paraId="73D8566F" w14:textId="77777777" w:rsidR="00AF7381" w:rsidRPr="00AF7381" w:rsidRDefault="00AF7381">
      <w:pPr>
        <w:pStyle w:val="ListParagraph"/>
        <w:numPr>
          <w:ilvl w:val="0"/>
          <w:numId w:val="164"/>
        </w:numPr>
        <w:spacing w:after="120"/>
        <w:contextualSpacing w:val="0"/>
        <w:jc w:val="both"/>
        <w:rPr>
          <w:highlight w:val="yellow"/>
        </w:rPr>
      </w:pPr>
      <w:r w:rsidRPr="00AF7381">
        <w:rPr>
          <w:highlight w:val="yellow"/>
        </w:rPr>
        <w:t>“My name is _________ and I work for an agency called ________.  I have a 10-minute interview that I would like to complete with you.  Your answers tell us how we can start supporting you.”</w:t>
      </w:r>
    </w:p>
    <w:p w14:paraId="4D78E206" w14:textId="77777777" w:rsidR="00AF7381" w:rsidRPr="00AF7381" w:rsidRDefault="00AF7381">
      <w:pPr>
        <w:pStyle w:val="ListParagraph"/>
        <w:numPr>
          <w:ilvl w:val="0"/>
          <w:numId w:val="164"/>
        </w:numPr>
        <w:spacing w:after="120"/>
        <w:contextualSpacing w:val="0"/>
        <w:jc w:val="both"/>
        <w:rPr>
          <w:highlight w:val="yellow"/>
        </w:rPr>
      </w:pPr>
      <w:r w:rsidRPr="00AF7381">
        <w:rPr>
          <w:highlight w:val="yellow"/>
        </w:rPr>
        <w:t>“Most questions only require a Yes or No.  Some questions require a one-word answer.  Some questions also are personal in nature.  You can skip or refuse any questions you don’t want to answer for any reason.  We can also stop whenever you want.  We’ll do our best to help you with whatever amount of information  you are willing to share with us now or any time in the future.  But the more information we have about your situation, the better we may be able to help you.  If you do not understand a question for any reason, let me know.  I would be happy to clarify.  I would be happy to get an interpreter in a different language or do my best to make other adjustments that might make you more comfortable with understanding and answering any questions.”</w:t>
      </w:r>
    </w:p>
    <w:p w14:paraId="3183EA34" w14:textId="77777777" w:rsidR="00AF7381" w:rsidRPr="00AF7381" w:rsidRDefault="00AF7381">
      <w:pPr>
        <w:pStyle w:val="ListParagraph"/>
        <w:numPr>
          <w:ilvl w:val="0"/>
          <w:numId w:val="164"/>
        </w:numPr>
        <w:spacing w:after="120"/>
        <w:contextualSpacing w:val="0"/>
        <w:jc w:val="both"/>
        <w:rPr>
          <w:highlight w:val="yellow"/>
        </w:rPr>
      </w:pPr>
      <w:r w:rsidRPr="00AF7381">
        <w:rPr>
          <w:highlight w:val="yellow"/>
        </w:rPr>
        <w:t>“The information you share with me will go into a Homeless Management Information System, which is a shared database that only shelters and housing service providers in Amador, Calaveras, Mariposa, and Tuolumne Counties can access.  Once your information is in there, you should not have to complete this survey again in these counties.”</w:t>
      </w:r>
    </w:p>
    <w:p w14:paraId="2CBCA78E" w14:textId="77777777" w:rsidR="00AF7381" w:rsidRPr="00AF7381" w:rsidRDefault="00AF7381">
      <w:pPr>
        <w:pStyle w:val="ListParagraph"/>
        <w:numPr>
          <w:ilvl w:val="0"/>
          <w:numId w:val="164"/>
        </w:numPr>
        <w:spacing w:after="120"/>
        <w:contextualSpacing w:val="0"/>
        <w:jc w:val="both"/>
        <w:rPr>
          <w:highlight w:val="yellow"/>
        </w:rPr>
      </w:pPr>
      <w:r w:rsidRPr="00AF7381">
        <w:rPr>
          <w:highlight w:val="yellow"/>
        </w:rPr>
        <w:t>“Completing this interview is not a guarantee that we will be able to find housing for you.  We’ll do our best, but there are some challenges that we’ll have to address first.  This is a marathon, not a sprint.  This is just the first of many steps we’ll have to take.”</w:t>
      </w:r>
    </w:p>
    <w:p w14:paraId="5C74C42E" w14:textId="77777777" w:rsidR="00AF7381" w:rsidRPr="00AF7381" w:rsidRDefault="00AF7381">
      <w:pPr>
        <w:pStyle w:val="ListParagraph"/>
        <w:numPr>
          <w:ilvl w:val="0"/>
          <w:numId w:val="164"/>
        </w:numPr>
        <w:spacing w:after="120"/>
        <w:contextualSpacing w:val="0"/>
        <w:jc w:val="both"/>
        <w:rPr>
          <w:highlight w:val="yellow"/>
        </w:rPr>
      </w:pPr>
      <w:r w:rsidRPr="00AF7381">
        <w:rPr>
          <w:highlight w:val="yellow"/>
        </w:rPr>
        <w:t>“One last thing – what’s nice about this interview is that you get to tell me whatever you think is right.  Don’t tell me what you think I want to hear.  This survey is meant to find resources for you, in your exact, unique situation.  It’s up to you, but the more open  you are, the more likely it will be that we can figure out how best to support you.”</w:t>
      </w:r>
    </w:p>
    <w:p w14:paraId="06971180" w14:textId="77777777" w:rsidR="00AF7381" w:rsidRPr="00AF7381" w:rsidRDefault="00AF7381">
      <w:pPr>
        <w:pStyle w:val="ListParagraph"/>
        <w:numPr>
          <w:ilvl w:val="0"/>
          <w:numId w:val="164"/>
        </w:numPr>
        <w:spacing w:after="120"/>
        <w:contextualSpacing w:val="0"/>
        <w:jc w:val="both"/>
        <w:rPr>
          <w:highlight w:val="yellow"/>
        </w:rPr>
      </w:pPr>
      <w:r w:rsidRPr="00AF7381">
        <w:rPr>
          <w:highlight w:val="yellow"/>
        </w:rPr>
        <w:t>“Would you like to proceed with a verbal conversation in English, here, right now?”</w:t>
      </w:r>
    </w:p>
    <w:p w14:paraId="6C87077B" w14:textId="77777777" w:rsidR="00AF7381" w:rsidRPr="00AF7381" w:rsidRDefault="00AF7381">
      <w:pPr>
        <w:pStyle w:val="ListParagraph"/>
        <w:numPr>
          <w:ilvl w:val="0"/>
          <w:numId w:val="164"/>
        </w:numPr>
        <w:contextualSpacing w:val="0"/>
        <w:jc w:val="both"/>
        <w:rPr>
          <w:highlight w:val="yellow"/>
        </w:rPr>
      </w:pPr>
      <w:r w:rsidRPr="00AF7381">
        <w:rPr>
          <w:highlight w:val="yellow"/>
        </w:rPr>
        <w:t>“Thank you for your time.  Let’s get started.”</w:t>
      </w:r>
    </w:p>
    <w:p w14:paraId="1336EB6E" w14:textId="77777777" w:rsidR="00AF7381" w:rsidRPr="00AF7381" w:rsidRDefault="00AF7381" w:rsidP="00AF7381">
      <w:pPr>
        <w:pStyle w:val="ListParagraph"/>
        <w:spacing w:after="120"/>
        <w:contextualSpacing w:val="0"/>
        <w:jc w:val="both"/>
        <w:rPr>
          <w:highlight w:val="yellow"/>
        </w:rPr>
      </w:pPr>
    </w:p>
    <w:p w14:paraId="3CF2843F" w14:textId="77777777" w:rsidR="00AF7381" w:rsidRPr="004B7B0B" w:rsidRDefault="00AF7381" w:rsidP="00AF7381">
      <w:pPr>
        <w:pStyle w:val="Heading2"/>
        <w:spacing w:before="0"/>
        <w:rPr>
          <w:color w:val="0070C0"/>
          <w:highlight w:val="yellow"/>
        </w:rPr>
      </w:pPr>
      <w:bookmarkStart w:id="72" w:name="_Toc34043203"/>
      <w:bookmarkStart w:id="73" w:name="_Toc124255004"/>
      <w:r w:rsidRPr="004B7B0B">
        <w:rPr>
          <w:color w:val="0070C0"/>
          <w:highlight w:val="yellow"/>
        </w:rPr>
        <w:lastRenderedPageBreak/>
        <w:t>Assessment Training</w:t>
      </w:r>
      <w:bookmarkEnd w:id="72"/>
      <w:bookmarkEnd w:id="73"/>
    </w:p>
    <w:p w14:paraId="3EC841F3" w14:textId="77777777" w:rsidR="00AF7381" w:rsidRPr="00AF7381" w:rsidRDefault="00AF7381" w:rsidP="00AF7381">
      <w:pPr>
        <w:jc w:val="both"/>
        <w:rPr>
          <w:highlight w:val="yellow"/>
        </w:rPr>
      </w:pPr>
      <w:r w:rsidRPr="00AF7381">
        <w:rPr>
          <w:highlight w:val="yellow"/>
        </w:rPr>
        <w:t>Coordinated entry (HMIS) training is mandated and shall be provided as requested.  Each service provider has an identified service provider member to coordinate with the designated coordinated entry trainer who will be responsible for scheduling training for new service provider.  Service providers helping to re-house households are aware of and know how to access a wide array of housing options (public/private, subsidized/unsubsidized, all local permanent supportive housing, etc.) directly or through the CSCoC’s coordinated entry system to help households achieve their Housing Plan goals.  Service providers are aware of and know how to access other community resources (e.g., legal services) that can help households achieve their housing placement and stabilization goals.</w:t>
      </w:r>
    </w:p>
    <w:p w14:paraId="2396D1AF" w14:textId="77777777" w:rsidR="00AF7381" w:rsidRPr="00AF7381" w:rsidRDefault="00AF7381" w:rsidP="00AF7381">
      <w:pPr>
        <w:jc w:val="both"/>
        <w:rPr>
          <w:highlight w:val="yellow"/>
        </w:rPr>
      </w:pPr>
    </w:p>
    <w:p w14:paraId="6BF6E836" w14:textId="1ACA1714" w:rsidR="00AF7381" w:rsidRPr="00AF7381" w:rsidRDefault="00AF7381" w:rsidP="00AF7381">
      <w:pPr>
        <w:jc w:val="both"/>
        <w:rPr>
          <w:highlight w:val="yellow"/>
        </w:rPr>
      </w:pPr>
      <w:r w:rsidRPr="00AF7381">
        <w:rPr>
          <w:highlight w:val="yellow"/>
        </w:rPr>
        <w:t xml:space="preserve">The CSCoC provides training protocols and at least one annual training opportunity to service providers that serve as access points or otherwise conduct assessments.  The training may be in person, live or recorded online sessions, or be self-administered.  Training provides all service providers with materials that clearly describe how assessments are to be administered with fidelity to the </w:t>
      </w:r>
      <w:r w:rsidR="00CF123B">
        <w:rPr>
          <w:highlight w:val="yellow"/>
        </w:rPr>
        <w:t>Written Standards</w:t>
      </w:r>
      <w:r w:rsidRPr="00AF7381">
        <w:rPr>
          <w:highlight w:val="yellow"/>
        </w:rPr>
        <w:t>.  The training protocols include the requirements for prioritization and the criteria for uniform decision-making and referrals.  Each phase of assessment might entail unique training protocols, such as mediation training for service provider conducting diversion assessments.  Skilled service providers are able to identify signs of trauma and stress among households entering the crisis response system and then work to mitigate those conditions by conducting assessments in the most sensitive and respectful manner possible.</w:t>
      </w:r>
    </w:p>
    <w:p w14:paraId="7A373DF3" w14:textId="77777777" w:rsidR="00AF7381" w:rsidRPr="00AF7381" w:rsidRDefault="00AF7381" w:rsidP="00AF7381">
      <w:pPr>
        <w:jc w:val="both"/>
        <w:rPr>
          <w:highlight w:val="yellow"/>
        </w:rPr>
      </w:pPr>
    </w:p>
    <w:p w14:paraId="3450877E" w14:textId="77777777" w:rsidR="00AF7381" w:rsidRPr="00AF7381" w:rsidRDefault="00AF7381" w:rsidP="00AF7381">
      <w:pPr>
        <w:jc w:val="both"/>
        <w:rPr>
          <w:highlight w:val="yellow"/>
        </w:rPr>
      </w:pPr>
      <w:r w:rsidRPr="00AF7381">
        <w:rPr>
          <w:highlight w:val="yellow"/>
        </w:rPr>
        <w:t>All service provider tasked with administering assessments use culturally and linguistically competent practices.  CSCoC incorporates cultural and linguistic competency training into the required annual assessor training.  Assessments include trauma-informed culturally and linguistically competent questions for special subpopulations, including immigrants, refugees, and other first-generation subpopulations; youth; households fleeing, or attempting to flee, domestic violence, dating violence, sexual assault, or stalking; and LGBTQ households.</w:t>
      </w:r>
    </w:p>
    <w:p w14:paraId="106ABC20" w14:textId="77777777" w:rsidR="00AF7381" w:rsidRPr="00AF7381" w:rsidRDefault="00AF7381" w:rsidP="00AF7381">
      <w:pPr>
        <w:jc w:val="both"/>
        <w:rPr>
          <w:highlight w:val="yellow"/>
        </w:rPr>
      </w:pPr>
    </w:p>
    <w:p w14:paraId="69BFD8CF" w14:textId="77777777" w:rsidR="00AF7381" w:rsidRPr="00AF7381" w:rsidRDefault="00AF7381" w:rsidP="00AF7381">
      <w:pPr>
        <w:jc w:val="both"/>
        <w:rPr>
          <w:highlight w:val="yellow"/>
        </w:rPr>
      </w:pPr>
      <w:r w:rsidRPr="00AF7381">
        <w:rPr>
          <w:highlight w:val="yellow"/>
        </w:rPr>
        <w:t>Training opportunities for all service providers authorized by the CSCoC to serve as coordinated entry HUBs or to administer Modified VI-SPDAT is available at least once annually.  Training curricula and protocols are updated and distributed annually, and include the following topics:</w:t>
      </w:r>
    </w:p>
    <w:p w14:paraId="7FED7E72" w14:textId="30A18BBC" w:rsidR="00AF7381" w:rsidRPr="00AF7381" w:rsidRDefault="00AF7381">
      <w:pPr>
        <w:pStyle w:val="ListParagraph"/>
        <w:numPr>
          <w:ilvl w:val="0"/>
          <w:numId w:val="165"/>
        </w:numPr>
        <w:spacing w:after="120"/>
        <w:contextualSpacing w:val="0"/>
        <w:rPr>
          <w:highlight w:val="yellow"/>
        </w:rPr>
      </w:pPr>
      <w:r w:rsidRPr="00AF7381">
        <w:rPr>
          <w:highlight w:val="yellow"/>
        </w:rPr>
        <w:t xml:space="preserve">Review of </w:t>
      </w:r>
      <w:r w:rsidR="00CF123B">
        <w:rPr>
          <w:highlight w:val="yellow"/>
        </w:rPr>
        <w:t>Written Standards</w:t>
      </w:r>
      <w:r w:rsidRPr="00AF7381">
        <w:rPr>
          <w:highlight w:val="yellow"/>
        </w:rPr>
        <w:t>, including any adopted variations for specific subpopulations;</w:t>
      </w:r>
    </w:p>
    <w:p w14:paraId="5518E847" w14:textId="77777777" w:rsidR="00AF7381" w:rsidRPr="00AF7381" w:rsidRDefault="00AF7381">
      <w:pPr>
        <w:pStyle w:val="ListParagraph"/>
        <w:numPr>
          <w:ilvl w:val="0"/>
          <w:numId w:val="165"/>
        </w:numPr>
        <w:spacing w:after="120"/>
        <w:contextualSpacing w:val="0"/>
        <w:rPr>
          <w:highlight w:val="yellow"/>
        </w:rPr>
      </w:pPr>
      <w:r w:rsidRPr="00AF7381">
        <w:rPr>
          <w:highlight w:val="yellow"/>
        </w:rPr>
        <w:t>Requirements for use of assessment information to determine prioritization;</w:t>
      </w:r>
    </w:p>
    <w:p w14:paraId="3793D837" w14:textId="77777777" w:rsidR="00AF7381" w:rsidRPr="00AF7381" w:rsidRDefault="00AF7381">
      <w:pPr>
        <w:pStyle w:val="ListParagraph"/>
        <w:numPr>
          <w:ilvl w:val="0"/>
          <w:numId w:val="165"/>
        </w:numPr>
        <w:spacing w:after="120"/>
        <w:contextualSpacing w:val="0"/>
        <w:rPr>
          <w:highlight w:val="yellow"/>
        </w:rPr>
      </w:pPr>
      <w:r w:rsidRPr="00AF7381">
        <w:rPr>
          <w:highlight w:val="yellow"/>
        </w:rPr>
        <w:t>Criteria for uniform decision-making and referrals;</w:t>
      </w:r>
    </w:p>
    <w:p w14:paraId="3DDA8973" w14:textId="77777777" w:rsidR="00AF7381" w:rsidRPr="00AF7381" w:rsidRDefault="00AF7381">
      <w:pPr>
        <w:pStyle w:val="ListParagraph"/>
        <w:numPr>
          <w:ilvl w:val="0"/>
          <w:numId w:val="165"/>
        </w:numPr>
        <w:spacing w:after="120"/>
        <w:contextualSpacing w:val="0"/>
        <w:rPr>
          <w:highlight w:val="yellow"/>
        </w:rPr>
      </w:pPr>
      <w:r w:rsidRPr="00AF7381">
        <w:rPr>
          <w:highlight w:val="yellow"/>
        </w:rPr>
        <w:t>Cultural and linguistic competency;</w:t>
      </w:r>
    </w:p>
    <w:p w14:paraId="03D7E7F5" w14:textId="77777777" w:rsidR="00AF7381" w:rsidRPr="00AF7381" w:rsidRDefault="00AF7381">
      <w:pPr>
        <w:pStyle w:val="ListParagraph"/>
        <w:numPr>
          <w:ilvl w:val="0"/>
          <w:numId w:val="165"/>
        </w:numPr>
        <w:spacing w:after="120"/>
        <w:contextualSpacing w:val="0"/>
        <w:rPr>
          <w:highlight w:val="yellow"/>
        </w:rPr>
      </w:pPr>
      <w:r w:rsidRPr="00AF7381">
        <w:rPr>
          <w:highlight w:val="yellow"/>
        </w:rPr>
        <w:t>How to conduct trauma-informed assessments, including for special populations;</w:t>
      </w:r>
    </w:p>
    <w:p w14:paraId="0CEA5A0E" w14:textId="77777777" w:rsidR="00AF7381" w:rsidRPr="00AF7381" w:rsidRDefault="00AF7381">
      <w:pPr>
        <w:pStyle w:val="ListParagraph"/>
        <w:numPr>
          <w:ilvl w:val="0"/>
          <w:numId w:val="165"/>
        </w:numPr>
        <w:spacing w:after="120"/>
        <w:contextualSpacing w:val="0"/>
        <w:rPr>
          <w:highlight w:val="yellow"/>
        </w:rPr>
      </w:pPr>
      <w:r w:rsidRPr="00AF7381">
        <w:rPr>
          <w:highlight w:val="yellow"/>
        </w:rPr>
        <w:t>Safety planning and how to identify safety issues during the assessment process; and</w:t>
      </w:r>
    </w:p>
    <w:p w14:paraId="158D7978" w14:textId="77777777" w:rsidR="00AF7381" w:rsidRPr="00AF7381" w:rsidRDefault="00AF7381">
      <w:pPr>
        <w:pStyle w:val="ListParagraph"/>
        <w:numPr>
          <w:ilvl w:val="0"/>
          <w:numId w:val="165"/>
        </w:numPr>
        <w:contextualSpacing w:val="0"/>
        <w:rPr>
          <w:highlight w:val="yellow"/>
        </w:rPr>
      </w:pPr>
      <w:r w:rsidRPr="00AF7381">
        <w:rPr>
          <w:highlight w:val="yellow"/>
        </w:rPr>
        <w:t>Personal and data privacy considerations, and procedures to protect confidential information.</w:t>
      </w:r>
    </w:p>
    <w:p w14:paraId="6F79B4C7" w14:textId="77777777" w:rsidR="00AF7381" w:rsidRPr="00AF7381" w:rsidRDefault="00AF7381" w:rsidP="00AF7381">
      <w:pPr>
        <w:pStyle w:val="ListParagraph"/>
        <w:contextualSpacing w:val="0"/>
        <w:rPr>
          <w:highlight w:val="yellow"/>
        </w:rPr>
      </w:pPr>
    </w:p>
    <w:p w14:paraId="2B191B5F" w14:textId="77777777" w:rsidR="00AF7381" w:rsidRPr="0058586C" w:rsidRDefault="00AF7381" w:rsidP="00AF7381">
      <w:pPr>
        <w:pStyle w:val="Heading2"/>
        <w:rPr>
          <w:color w:val="0070C0"/>
          <w:highlight w:val="yellow"/>
        </w:rPr>
      </w:pPr>
      <w:bookmarkStart w:id="74" w:name="_Toc34043204"/>
      <w:bookmarkStart w:id="75" w:name="_Toc124255005"/>
      <w:r w:rsidRPr="0058586C">
        <w:rPr>
          <w:color w:val="0070C0"/>
          <w:highlight w:val="yellow"/>
        </w:rPr>
        <w:lastRenderedPageBreak/>
        <w:t>HMIS Data Entry</w:t>
      </w:r>
      <w:bookmarkEnd w:id="74"/>
      <w:bookmarkEnd w:id="75"/>
    </w:p>
    <w:p w14:paraId="7D3BE6B2" w14:textId="77777777" w:rsidR="00AF7381" w:rsidRPr="00AF7381" w:rsidRDefault="00AF7381" w:rsidP="00AF7381">
      <w:pPr>
        <w:jc w:val="both"/>
        <w:rPr>
          <w:highlight w:val="yellow"/>
        </w:rPr>
      </w:pPr>
      <w:r w:rsidRPr="00AF7381">
        <w:rPr>
          <w:highlight w:val="yellow"/>
        </w:rPr>
        <w:t>After assessment, coordinated entry scores are transmitted to coordinated entry service provider within 24 hours.  Coordinated entry service provider then enters those scores into HMIS within 48 hours of receiving such scores.</w:t>
      </w:r>
    </w:p>
    <w:p w14:paraId="7E0E3D09" w14:textId="77777777" w:rsidR="00AF7381" w:rsidRPr="00AF7381" w:rsidRDefault="00AF7381" w:rsidP="00AF7381">
      <w:pPr>
        <w:jc w:val="both"/>
        <w:rPr>
          <w:highlight w:val="yellow"/>
        </w:rPr>
      </w:pPr>
    </w:p>
    <w:p w14:paraId="03488493" w14:textId="77777777" w:rsidR="00AF7381" w:rsidRPr="00AF7381" w:rsidRDefault="00AF7381" w:rsidP="00AF7381">
      <w:pPr>
        <w:jc w:val="both"/>
        <w:rPr>
          <w:highlight w:val="yellow"/>
        </w:rPr>
      </w:pPr>
      <w:r w:rsidRPr="00AF7381">
        <w:rPr>
          <w:highlight w:val="yellow"/>
        </w:rPr>
        <w:t>The coordinated entry system Home Screen is used to search for or add new households and displays the surveys that are active.  Households marked “in process” are still searching for an available housing unit but have completed both the short and long form assessment tools for placement.</w:t>
      </w:r>
    </w:p>
    <w:p w14:paraId="1012AA16" w14:textId="77777777" w:rsidR="00AF7381" w:rsidRPr="00AF7381" w:rsidRDefault="00AF7381" w:rsidP="00AF7381">
      <w:pPr>
        <w:jc w:val="both"/>
        <w:rPr>
          <w:highlight w:val="yellow"/>
        </w:rPr>
      </w:pPr>
    </w:p>
    <w:p w14:paraId="3713C7B1" w14:textId="77777777" w:rsidR="00AF7381" w:rsidRPr="00AF7381" w:rsidRDefault="00AF7381" w:rsidP="00AF7381">
      <w:pPr>
        <w:jc w:val="both"/>
        <w:rPr>
          <w:highlight w:val="yellow"/>
        </w:rPr>
      </w:pPr>
      <w:r w:rsidRPr="00AF7381">
        <w:rPr>
          <w:highlight w:val="yellow"/>
        </w:rPr>
        <w:t>The Project Information screen is where the household’s information is first entered into the coordinated entry system.  Households have the right to refuse to provide any requested information in the coordinated entry process.  However, the service provider conducting the intake ensures that the household understands that incomplete information could result in an inaccurate assessment of the household’s housing needs and vulnerability, potentially lowering their placement on the prioritization list.</w:t>
      </w:r>
    </w:p>
    <w:p w14:paraId="0CE0968A" w14:textId="77777777" w:rsidR="00AF7381" w:rsidRPr="00AF7381" w:rsidRDefault="00AF7381" w:rsidP="00AF7381">
      <w:pPr>
        <w:jc w:val="both"/>
        <w:rPr>
          <w:highlight w:val="yellow"/>
        </w:rPr>
      </w:pPr>
    </w:p>
    <w:p w14:paraId="1EFBD951" w14:textId="77777777" w:rsidR="00AF7381" w:rsidRPr="00AF7381" w:rsidRDefault="00AF7381" w:rsidP="00AF7381">
      <w:pPr>
        <w:jc w:val="both"/>
        <w:rPr>
          <w:highlight w:val="yellow"/>
        </w:rPr>
      </w:pPr>
      <w:r w:rsidRPr="00AF7381">
        <w:rPr>
          <w:highlight w:val="yellow"/>
        </w:rPr>
        <w:t xml:space="preserve">The modified short or long form Modified VI-SPDAT should not be administered more than once every six months for the purposes of placement on the housing prioritization list.  If a household experiences a change in circumstances that may significantly impact their vulnerability score, these changes are noted in the Household Notes section of HMIS by the most current service provider.  Households will remain on the HMIS main screen and will be flagged if contact is </w:t>
      </w:r>
      <w:proofErr w:type="gramStart"/>
      <w:r w:rsidRPr="00AF7381">
        <w:rPr>
          <w:highlight w:val="yellow"/>
        </w:rPr>
        <w:t>lost</w:t>
      </w:r>
      <w:proofErr w:type="gramEnd"/>
      <w:r w:rsidRPr="00AF7381">
        <w:rPr>
          <w:highlight w:val="yellow"/>
        </w:rPr>
        <w:t xml:space="preserve"> or the household does not call in after the six-month mark.</w:t>
      </w:r>
    </w:p>
    <w:p w14:paraId="3ECCC035" w14:textId="77777777" w:rsidR="00AF7381" w:rsidRPr="00AF7381" w:rsidRDefault="00AF7381" w:rsidP="00AF7381">
      <w:pPr>
        <w:jc w:val="both"/>
        <w:rPr>
          <w:highlight w:val="yellow"/>
        </w:rPr>
      </w:pPr>
    </w:p>
    <w:p w14:paraId="4FF68B8B" w14:textId="4D68981F" w:rsidR="00AF7381" w:rsidRDefault="00AF7381" w:rsidP="00AF7381">
      <w:pPr>
        <w:spacing w:after="120"/>
        <w:jc w:val="both"/>
      </w:pPr>
      <w:r w:rsidRPr="00AF7381">
        <w:rPr>
          <w:highlight w:val="yellow"/>
        </w:rPr>
        <w:t>Households with multiple scores over a six-month period will be assessed for housing using the earliest score within that timeframe.</w:t>
      </w:r>
    </w:p>
    <w:p w14:paraId="40A0BF1E" w14:textId="6038DDDE" w:rsidR="00F90BC7" w:rsidRDefault="00F90BC7" w:rsidP="00AF7381">
      <w:pPr>
        <w:spacing w:after="120"/>
        <w:jc w:val="both"/>
      </w:pPr>
    </w:p>
    <w:p w14:paraId="00A46B9D" w14:textId="27A92FA9" w:rsidR="00695C5B" w:rsidRDefault="00695C5B" w:rsidP="00AF7381">
      <w:pPr>
        <w:spacing w:after="120"/>
        <w:jc w:val="both"/>
      </w:pPr>
    </w:p>
    <w:p w14:paraId="20962842" w14:textId="77777777" w:rsidR="00695C5B" w:rsidRDefault="00695C5B" w:rsidP="00AF7381">
      <w:pPr>
        <w:spacing w:after="120"/>
        <w:jc w:val="both"/>
      </w:pPr>
    </w:p>
    <w:p w14:paraId="32AF457C" w14:textId="5979CF83" w:rsidR="00F90BC7" w:rsidRDefault="00F90BC7" w:rsidP="00AF7381">
      <w:pPr>
        <w:spacing w:after="120"/>
        <w:jc w:val="both"/>
      </w:pPr>
    </w:p>
    <w:p w14:paraId="311ABF84" w14:textId="009A01FC" w:rsidR="00F90BC7" w:rsidRDefault="00F90BC7" w:rsidP="00AF7381">
      <w:pPr>
        <w:spacing w:after="120"/>
        <w:jc w:val="both"/>
      </w:pPr>
    </w:p>
    <w:p w14:paraId="2F4AC8A3" w14:textId="4DA3AD15" w:rsidR="00F90BC7" w:rsidRDefault="00F90BC7" w:rsidP="00AF7381">
      <w:pPr>
        <w:spacing w:after="120"/>
        <w:jc w:val="both"/>
      </w:pPr>
    </w:p>
    <w:p w14:paraId="1B33DFAA" w14:textId="26D44969" w:rsidR="00F90BC7" w:rsidRDefault="00F90BC7" w:rsidP="00AF7381">
      <w:pPr>
        <w:spacing w:after="120"/>
        <w:jc w:val="both"/>
      </w:pPr>
    </w:p>
    <w:p w14:paraId="39111417" w14:textId="2EDECFDE" w:rsidR="00F90BC7" w:rsidRDefault="00F90BC7" w:rsidP="00AF7381">
      <w:pPr>
        <w:spacing w:after="120"/>
        <w:jc w:val="both"/>
      </w:pPr>
    </w:p>
    <w:p w14:paraId="34D9547C" w14:textId="30090327" w:rsidR="00F90BC7" w:rsidRDefault="00F90BC7" w:rsidP="00AF7381">
      <w:pPr>
        <w:spacing w:after="120"/>
        <w:jc w:val="both"/>
      </w:pPr>
    </w:p>
    <w:p w14:paraId="64CAC782" w14:textId="3DDC7496" w:rsidR="00F90BC7" w:rsidRDefault="00F90BC7" w:rsidP="00AF7381">
      <w:pPr>
        <w:spacing w:after="120"/>
        <w:jc w:val="both"/>
      </w:pPr>
    </w:p>
    <w:p w14:paraId="4D7163F3" w14:textId="77777777" w:rsidR="00F90BC7" w:rsidRDefault="00F90BC7" w:rsidP="00AF7381">
      <w:pPr>
        <w:spacing w:after="120"/>
        <w:jc w:val="both"/>
      </w:pPr>
    </w:p>
    <w:p w14:paraId="30F4445C" w14:textId="77777777" w:rsidR="00AF7381" w:rsidRPr="0058586C" w:rsidRDefault="00AF7381" w:rsidP="00AF7381">
      <w:pPr>
        <w:pStyle w:val="Heading1"/>
        <w:rPr>
          <w:b/>
          <w:bCs/>
          <w:color w:val="0070C0"/>
          <w:highlight w:val="yellow"/>
        </w:rPr>
      </w:pPr>
      <w:bookmarkStart w:id="76" w:name="_Toc124255006"/>
      <w:r w:rsidRPr="0058586C">
        <w:rPr>
          <w:b/>
          <w:bCs/>
          <w:color w:val="0070C0"/>
          <w:highlight w:val="yellow"/>
        </w:rPr>
        <w:lastRenderedPageBreak/>
        <w:t>Prioritization</w:t>
      </w:r>
      <w:bookmarkEnd w:id="76"/>
    </w:p>
    <w:p w14:paraId="77E1C107" w14:textId="77777777" w:rsidR="00AF7381" w:rsidRPr="00AF7381" w:rsidRDefault="00AF7381" w:rsidP="00AF7381">
      <w:pPr>
        <w:jc w:val="both"/>
        <w:rPr>
          <w:highlight w:val="yellow"/>
        </w:rPr>
      </w:pPr>
      <w:r w:rsidRPr="00AF7381">
        <w:rPr>
          <w:highlight w:val="yellow"/>
        </w:rPr>
        <w:t>Households are prioritized for a full continuum of housing and service interventions according to CSCoC and ESG Written Standards, which prioritize those who are most vulnerable and with the most immediate needs for referral and placement into appropriate housing interventions.  Those with the highest Modified VI-SPDAT scores are prioritized highest for longer term housing solutions.  Program admission is prioritized for people with the most severe needs.  All CSCoC service providers use the coordinated entry process to prioritize homeless households within the CSCoC geographic service area for access to housing and supportive services.</w:t>
      </w:r>
    </w:p>
    <w:p w14:paraId="2AB7131E" w14:textId="77777777" w:rsidR="00AF7381" w:rsidRPr="00AF7381" w:rsidRDefault="00AF7381" w:rsidP="00AF7381">
      <w:pPr>
        <w:jc w:val="both"/>
        <w:rPr>
          <w:highlight w:val="yellow"/>
        </w:rPr>
      </w:pPr>
    </w:p>
    <w:p w14:paraId="4C653D31" w14:textId="4E1E4C60" w:rsidR="00AF7381" w:rsidRPr="00AF7381" w:rsidRDefault="00AF7381" w:rsidP="00AF7381">
      <w:pPr>
        <w:jc w:val="both"/>
        <w:rPr>
          <w:highlight w:val="yellow"/>
        </w:rPr>
      </w:pPr>
      <w:r w:rsidRPr="00AF7381">
        <w:rPr>
          <w:highlight w:val="yellow"/>
        </w:rPr>
        <w:t>The coordinated entry prioritization process combines each household’s assessment results with the CSCoC’s prioritization to determine that household’s level of vulnerability.  The household’s assessed vulnerability establishes their level of priority for resources in the homeless system and lead to identification of vacancies at housing and supportive services projects to which the household can be referred.</w:t>
      </w:r>
    </w:p>
    <w:p w14:paraId="62E94BBA" w14:textId="77777777" w:rsidR="00AF7381" w:rsidRPr="00AF7381" w:rsidRDefault="00AF7381" w:rsidP="00AF7381">
      <w:pPr>
        <w:jc w:val="both"/>
        <w:rPr>
          <w:highlight w:val="yellow"/>
        </w:rPr>
      </w:pPr>
    </w:p>
    <w:p w14:paraId="2B0B10FD" w14:textId="77777777" w:rsidR="00AF7381" w:rsidRPr="0058586C" w:rsidRDefault="00AF7381" w:rsidP="00AF7381">
      <w:pPr>
        <w:pStyle w:val="Heading2"/>
        <w:rPr>
          <w:color w:val="0070C0"/>
          <w:highlight w:val="yellow"/>
        </w:rPr>
      </w:pPr>
      <w:bookmarkStart w:id="77" w:name="_Toc34043206"/>
      <w:bookmarkStart w:id="78" w:name="_Toc124255007"/>
      <w:r w:rsidRPr="0058586C">
        <w:rPr>
          <w:color w:val="0070C0"/>
          <w:highlight w:val="yellow"/>
        </w:rPr>
        <w:t>Requirements</w:t>
      </w:r>
      <w:bookmarkEnd w:id="77"/>
      <w:bookmarkEnd w:id="78"/>
    </w:p>
    <w:p w14:paraId="62977B65" w14:textId="77777777" w:rsidR="00AF7381" w:rsidRPr="00AF7381" w:rsidRDefault="00AF7381" w:rsidP="00AF7381">
      <w:pPr>
        <w:jc w:val="both"/>
        <w:rPr>
          <w:highlight w:val="yellow"/>
        </w:rPr>
      </w:pPr>
      <w:r w:rsidRPr="00AF7381">
        <w:rPr>
          <w:highlight w:val="yellow"/>
        </w:rPr>
        <w:t>CSCoC adopts the requirements for the prioritization process, as outlined in the HUD Coordinated Entry Notice.  Prioritization is therefore based on a specific and definable set of criteria that are made publicly available through the CSCoC’s written prioritization standards and are applied consistently throughout the CSCoC.  The CSCoC’s prioritization criteria include the following factors:</w:t>
      </w:r>
    </w:p>
    <w:p w14:paraId="6865C873" w14:textId="77777777" w:rsidR="00AF7381" w:rsidRPr="00AF7381" w:rsidRDefault="00AF7381">
      <w:pPr>
        <w:pStyle w:val="ListParagraph"/>
        <w:numPr>
          <w:ilvl w:val="0"/>
          <w:numId w:val="168"/>
        </w:numPr>
        <w:spacing w:after="120"/>
        <w:contextualSpacing w:val="0"/>
        <w:rPr>
          <w:highlight w:val="yellow"/>
        </w:rPr>
      </w:pPr>
      <w:r w:rsidRPr="00AF7381">
        <w:rPr>
          <w:highlight w:val="yellow"/>
        </w:rPr>
        <w:t>Significant health or behavioral health challengers or functional impairments that require a significant level of support for the household to maintain permanent housing.</w:t>
      </w:r>
    </w:p>
    <w:p w14:paraId="23C7E029" w14:textId="77777777" w:rsidR="00AF7381" w:rsidRPr="00AF7381" w:rsidRDefault="00AF7381">
      <w:pPr>
        <w:pStyle w:val="ListParagraph"/>
        <w:numPr>
          <w:ilvl w:val="0"/>
          <w:numId w:val="168"/>
        </w:numPr>
        <w:spacing w:after="120"/>
        <w:contextualSpacing w:val="0"/>
        <w:rPr>
          <w:highlight w:val="yellow"/>
        </w:rPr>
      </w:pPr>
      <w:r w:rsidRPr="00AF7381">
        <w:rPr>
          <w:highlight w:val="yellow"/>
        </w:rPr>
        <w:t>High use of crisis or emergency services to meet basic needs, including emergency rooms, jails, and psychiatric facilities.</w:t>
      </w:r>
    </w:p>
    <w:p w14:paraId="45EF4C73" w14:textId="77777777" w:rsidR="00AF7381" w:rsidRPr="00AF7381" w:rsidRDefault="00AF7381">
      <w:pPr>
        <w:pStyle w:val="ListParagraph"/>
        <w:numPr>
          <w:ilvl w:val="0"/>
          <w:numId w:val="168"/>
        </w:numPr>
        <w:spacing w:after="120"/>
        <w:contextualSpacing w:val="0"/>
        <w:rPr>
          <w:highlight w:val="yellow"/>
        </w:rPr>
      </w:pPr>
      <w:r w:rsidRPr="00AF7381">
        <w:rPr>
          <w:highlight w:val="yellow"/>
        </w:rPr>
        <w:t>Extent to which households, especially youth and children, are unsheltered.</w:t>
      </w:r>
    </w:p>
    <w:p w14:paraId="0854C387" w14:textId="77777777" w:rsidR="00AF7381" w:rsidRPr="00AF7381" w:rsidRDefault="00AF7381">
      <w:pPr>
        <w:pStyle w:val="ListParagraph"/>
        <w:numPr>
          <w:ilvl w:val="0"/>
          <w:numId w:val="168"/>
        </w:numPr>
        <w:spacing w:after="120"/>
        <w:contextualSpacing w:val="0"/>
        <w:rPr>
          <w:highlight w:val="yellow"/>
        </w:rPr>
      </w:pPr>
      <w:r w:rsidRPr="00AF7381">
        <w:rPr>
          <w:highlight w:val="yellow"/>
        </w:rPr>
        <w:t>Vulnerability to illness or death.</w:t>
      </w:r>
    </w:p>
    <w:p w14:paraId="36DDCD2A" w14:textId="77777777" w:rsidR="00AF7381" w:rsidRPr="00AF7381" w:rsidRDefault="00AF7381">
      <w:pPr>
        <w:pStyle w:val="ListParagraph"/>
        <w:numPr>
          <w:ilvl w:val="0"/>
          <w:numId w:val="168"/>
        </w:numPr>
        <w:spacing w:after="120"/>
        <w:contextualSpacing w:val="0"/>
        <w:rPr>
          <w:highlight w:val="yellow"/>
        </w:rPr>
      </w:pPr>
      <w:r w:rsidRPr="00AF7381">
        <w:rPr>
          <w:highlight w:val="yellow"/>
        </w:rPr>
        <w:t>Risk of continued homelessness.</w:t>
      </w:r>
    </w:p>
    <w:p w14:paraId="761483CB" w14:textId="77777777" w:rsidR="00AF7381" w:rsidRPr="00AF7381" w:rsidRDefault="00AF7381">
      <w:pPr>
        <w:pStyle w:val="ListParagraph"/>
        <w:numPr>
          <w:ilvl w:val="0"/>
          <w:numId w:val="168"/>
        </w:numPr>
        <w:spacing w:after="120"/>
        <w:contextualSpacing w:val="0"/>
        <w:rPr>
          <w:highlight w:val="yellow"/>
        </w:rPr>
      </w:pPr>
      <w:r w:rsidRPr="00AF7381">
        <w:rPr>
          <w:highlight w:val="yellow"/>
        </w:rPr>
        <w:t>Vulnerability to victimization, including physical assault, trafficking, or sex work.</w:t>
      </w:r>
    </w:p>
    <w:p w14:paraId="0C110427" w14:textId="77777777" w:rsidR="00AF7381" w:rsidRPr="00AF7381" w:rsidRDefault="00AF7381">
      <w:pPr>
        <w:pStyle w:val="ListParagraph"/>
        <w:numPr>
          <w:ilvl w:val="0"/>
          <w:numId w:val="168"/>
        </w:numPr>
        <w:contextualSpacing w:val="0"/>
        <w:rPr>
          <w:highlight w:val="yellow"/>
        </w:rPr>
      </w:pPr>
      <w:r w:rsidRPr="00AF7381">
        <w:rPr>
          <w:highlight w:val="yellow"/>
        </w:rPr>
        <w:t>Other actors determined by the community and based on severity of needs.</w:t>
      </w:r>
    </w:p>
    <w:p w14:paraId="03D8F3F5" w14:textId="77777777" w:rsidR="00AF7381" w:rsidRPr="00AF7381" w:rsidRDefault="00AF7381" w:rsidP="00AF7381">
      <w:pPr>
        <w:pStyle w:val="ListParagraph"/>
        <w:contextualSpacing w:val="0"/>
        <w:rPr>
          <w:highlight w:val="yellow"/>
        </w:rPr>
      </w:pPr>
    </w:p>
    <w:p w14:paraId="3513C2CA" w14:textId="77777777" w:rsidR="00AF7381" w:rsidRPr="0058586C" w:rsidRDefault="00AF7381" w:rsidP="00AF7381">
      <w:pPr>
        <w:pStyle w:val="Heading2"/>
        <w:rPr>
          <w:color w:val="0070C0"/>
          <w:highlight w:val="yellow"/>
        </w:rPr>
      </w:pPr>
      <w:bookmarkStart w:id="79" w:name="_Toc34043207"/>
      <w:bookmarkStart w:id="80" w:name="_Toc124255008"/>
      <w:r w:rsidRPr="0058586C">
        <w:rPr>
          <w:color w:val="0070C0"/>
          <w:highlight w:val="yellow"/>
        </w:rPr>
        <w:t>Prioritization Scheme</w:t>
      </w:r>
      <w:bookmarkEnd w:id="79"/>
      <w:bookmarkEnd w:id="80"/>
    </w:p>
    <w:p w14:paraId="52248F7B" w14:textId="77777777" w:rsidR="00AF7381" w:rsidRPr="00AF7381" w:rsidRDefault="00AF7381" w:rsidP="00AF7381">
      <w:pPr>
        <w:jc w:val="both"/>
        <w:rPr>
          <w:highlight w:val="yellow"/>
        </w:rPr>
      </w:pPr>
      <w:r w:rsidRPr="00AF7381">
        <w:rPr>
          <w:highlight w:val="yellow"/>
        </w:rPr>
        <w:t>For the purposes of coordinated entry, one prioritization list is maintained for the entire CSCoC.  Referrals may be made across county lines based on availability of services within an area, as well as household preferences and needs.  The CSCoC has adopted the final rule on Chronically Homeless; as such it is acceptable to move down the vulnerability order in the event no chronically homeless households are identified at the time of a vacancy.</w:t>
      </w:r>
    </w:p>
    <w:p w14:paraId="5FA14231" w14:textId="77777777" w:rsidR="00AF7381" w:rsidRPr="00AF7381" w:rsidRDefault="00AF7381" w:rsidP="00AF7381">
      <w:pPr>
        <w:spacing w:before="120"/>
        <w:rPr>
          <w:highlight w:val="yellow"/>
          <w:u w:val="single"/>
        </w:rPr>
      </w:pPr>
      <w:r w:rsidRPr="00AF7381">
        <w:rPr>
          <w:highlight w:val="yellow"/>
          <w:u w:val="single"/>
        </w:rPr>
        <w:lastRenderedPageBreak/>
        <w:t>Determining Priority Level</w:t>
      </w:r>
    </w:p>
    <w:p w14:paraId="487529D7" w14:textId="77777777" w:rsidR="00AF7381" w:rsidRPr="00AF7381" w:rsidRDefault="00AF7381" w:rsidP="00AF7381">
      <w:pPr>
        <w:spacing w:after="120"/>
        <w:rPr>
          <w:highlight w:val="yellow"/>
        </w:rPr>
      </w:pPr>
      <w:r w:rsidRPr="00AF7381">
        <w:rPr>
          <w:highlight w:val="yellow"/>
        </w:rPr>
        <w:t>CSCoC has also adopted the prioritization approach for permanent supportive housing in the HUD 2016 Prioritization Notice.  This approach ensures that PSH resources are made available to the households of highest need.</w:t>
      </w:r>
    </w:p>
    <w:p w14:paraId="51D3075A" w14:textId="77777777" w:rsidR="00AF7381" w:rsidRPr="0058586C" w:rsidRDefault="00AF7381" w:rsidP="00AF7381">
      <w:pPr>
        <w:pStyle w:val="Heading2"/>
        <w:rPr>
          <w:color w:val="0070C0"/>
          <w:highlight w:val="yellow"/>
        </w:rPr>
      </w:pPr>
      <w:bookmarkStart w:id="81" w:name="_Toc34043208"/>
      <w:bookmarkStart w:id="82" w:name="_Toc124255009"/>
      <w:r w:rsidRPr="0058586C">
        <w:rPr>
          <w:color w:val="0070C0"/>
          <w:highlight w:val="yellow"/>
        </w:rPr>
        <w:t>Managing the Priority List</w:t>
      </w:r>
      <w:bookmarkEnd w:id="81"/>
      <w:bookmarkEnd w:id="82"/>
    </w:p>
    <w:p w14:paraId="27CDF744" w14:textId="77777777" w:rsidR="00AF7381" w:rsidRPr="00AF7381" w:rsidRDefault="00AF7381" w:rsidP="00AF7381">
      <w:pPr>
        <w:rPr>
          <w:highlight w:val="yellow"/>
          <w:u w:val="single"/>
        </w:rPr>
      </w:pPr>
      <w:r w:rsidRPr="00AF7381">
        <w:rPr>
          <w:highlight w:val="yellow"/>
          <w:u w:val="single"/>
        </w:rPr>
        <w:t>Housing Determination Committee</w:t>
      </w:r>
    </w:p>
    <w:p w14:paraId="2393B0F0" w14:textId="77777777" w:rsidR="00AF7381" w:rsidRPr="00AF7381" w:rsidRDefault="00AF7381" w:rsidP="00AF7381">
      <w:pPr>
        <w:jc w:val="both"/>
        <w:rPr>
          <w:highlight w:val="yellow"/>
        </w:rPr>
      </w:pPr>
      <w:r w:rsidRPr="00AF7381">
        <w:rPr>
          <w:highlight w:val="yellow"/>
        </w:rPr>
        <w:t>A Housing Determination Committee (HDC), composed of representatives from the four main county-wide HUB stations, is responsible for managing the CSCoC prioritization list.  The CSCoC designates at least one member from each county to the HDC, for a minimum total membership of 4 representatives and a maximum membership of 8 representatives.  This group coordinates across the CSCoC to match households on the prioritization list to available housing opportunities, regardless of geographic location within the service area.</w:t>
      </w:r>
    </w:p>
    <w:p w14:paraId="73F7BABB" w14:textId="77777777" w:rsidR="00AF7381" w:rsidRPr="00AF7381" w:rsidRDefault="00AF7381" w:rsidP="00AF7381">
      <w:pPr>
        <w:jc w:val="both"/>
        <w:rPr>
          <w:highlight w:val="yellow"/>
        </w:rPr>
      </w:pPr>
      <w:r w:rsidRPr="00AF7381">
        <w:rPr>
          <w:highlight w:val="yellow"/>
        </w:rPr>
        <w:t xml:space="preserve">  </w:t>
      </w:r>
    </w:p>
    <w:p w14:paraId="01C38615" w14:textId="77777777" w:rsidR="00AF7381" w:rsidRPr="00AF7381" w:rsidRDefault="00AF7381" w:rsidP="00AF7381">
      <w:pPr>
        <w:jc w:val="both"/>
        <w:rPr>
          <w:highlight w:val="yellow"/>
        </w:rPr>
      </w:pPr>
      <w:r w:rsidRPr="00AF7381">
        <w:rPr>
          <w:highlight w:val="yellow"/>
        </w:rPr>
        <w:t xml:space="preserve">Households are discussed on phone calls (at least once every week) and any additional information about housing barriers to ensure proper timely assistance in the county each household will be receiving services.  Internal transfers within an agency or program DO NOT require HDC approval; however, intake service provider does have discretion to switch between RR, TH, and PSH during placement so long as the HDC is </w:t>
      </w:r>
      <w:proofErr w:type="gramStart"/>
      <w:r w:rsidRPr="00AF7381">
        <w:rPr>
          <w:highlight w:val="yellow"/>
        </w:rPr>
        <w:t>notified</w:t>
      </w:r>
      <w:proofErr w:type="gramEnd"/>
      <w:r w:rsidRPr="00AF7381">
        <w:rPr>
          <w:highlight w:val="yellow"/>
        </w:rPr>
        <w:t xml:space="preserve"> and households meet the definition and criteria.  This will ensure faster placement in available programs.</w:t>
      </w:r>
    </w:p>
    <w:p w14:paraId="44FB87B4" w14:textId="77777777" w:rsidR="00AF7381" w:rsidRPr="00AF7381" w:rsidRDefault="00AF7381" w:rsidP="00AF7381">
      <w:pPr>
        <w:jc w:val="both"/>
        <w:rPr>
          <w:highlight w:val="yellow"/>
        </w:rPr>
      </w:pPr>
    </w:p>
    <w:p w14:paraId="0091E774" w14:textId="77777777" w:rsidR="00AF7381" w:rsidRPr="00AF7381" w:rsidRDefault="00AF7381" w:rsidP="00AF7381">
      <w:pPr>
        <w:jc w:val="both"/>
        <w:rPr>
          <w:highlight w:val="yellow"/>
        </w:rPr>
      </w:pPr>
      <w:r w:rsidRPr="00AF7381">
        <w:rPr>
          <w:highlight w:val="yellow"/>
        </w:rPr>
        <w:t>To manage prioritization for referral and placement into CSCoC resources, CES service provider uses HMIS to prepare and maintain a single priority list. The priority list includes household members by name and/or identification code, their assigned Modified VI-SPDAT scores, and their placement ranking level according to the prioritization scheme.</w:t>
      </w:r>
    </w:p>
    <w:p w14:paraId="7868F633" w14:textId="77777777" w:rsidR="00AF7381" w:rsidRPr="00AF7381" w:rsidRDefault="00AF7381" w:rsidP="00AF7381">
      <w:pPr>
        <w:jc w:val="both"/>
        <w:rPr>
          <w:highlight w:val="yellow"/>
        </w:rPr>
      </w:pPr>
    </w:p>
    <w:p w14:paraId="6DB9F10C" w14:textId="77777777" w:rsidR="00AF7381" w:rsidRPr="00AF7381" w:rsidRDefault="00AF7381" w:rsidP="00AF7381">
      <w:pPr>
        <w:rPr>
          <w:highlight w:val="yellow"/>
          <w:u w:val="single"/>
        </w:rPr>
      </w:pPr>
      <w:r w:rsidRPr="00AF7381">
        <w:rPr>
          <w:highlight w:val="yellow"/>
          <w:u w:val="single"/>
        </w:rPr>
        <w:t>Permanent Supportive Housing</w:t>
      </w:r>
    </w:p>
    <w:p w14:paraId="11613BBE" w14:textId="77777777" w:rsidR="00AF7381" w:rsidRPr="00AF7381" w:rsidRDefault="00AF7381" w:rsidP="00AF7381">
      <w:pPr>
        <w:rPr>
          <w:highlight w:val="yellow"/>
        </w:rPr>
      </w:pPr>
      <w:r w:rsidRPr="00AF7381">
        <w:rPr>
          <w:highlight w:val="yellow"/>
        </w:rPr>
        <w:t xml:space="preserve">Households are assessed for prioritization in accordance with the HUD prioritization notice for chronic homelessness, consisting of four main criteria: </w:t>
      </w:r>
    </w:p>
    <w:p w14:paraId="5A3DAE88" w14:textId="77777777" w:rsidR="00AF7381" w:rsidRPr="00AF7381" w:rsidRDefault="00AF7381">
      <w:pPr>
        <w:pStyle w:val="ListParagraph"/>
        <w:numPr>
          <w:ilvl w:val="0"/>
          <w:numId w:val="169"/>
        </w:numPr>
        <w:spacing w:after="120"/>
        <w:contextualSpacing w:val="0"/>
        <w:rPr>
          <w:highlight w:val="yellow"/>
        </w:rPr>
      </w:pPr>
      <w:r w:rsidRPr="00AF7381">
        <w:rPr>
          <w:highlight w:val="yellow"/>
        </w:rPr>
        <w:t xml:space="preserve">Vulnerability </w:t>
      </w:r>
    </w:p>
    <w:p w14:paraId="0B5D6E54" w14:textId="77777777" w:rsidR="00AF7381" w:rsidRPr="00AF7381" w:rsidRDefault="00AF7381">
      <w:pPr>
        <w:pStyle w:val="ListParagraph"/>
        <w:numPr>
          <w:ilvl w:val="0"/>
          <w:numId w:val="169"/>
        </w:numPr>
        <w:spacing w:after="120"/>
        <w:contextualSpacing w:val="0"/>
        <w:rPr>
          <w:highlight w:val="yellow"/>
        </w:rPr>
      </w:pPr>
      <w:r w:rsidRPr="00AF7381">
        <w:rPr>
          <w:highlight w:val="yellow"/>
        </w:rPr>
        <w:t xml:space="preserve">Severity of service needs </w:t>
      </w:r>
    </w:p>
    <w:p w14:paraId="1A5E349B" w14:textId="77777777" w:rsidR="00AF7381" w:rsidRPr="00AF7381" w:rsidRDefault="00AF7381">
      <w:pPr>
        <w:pStyle w:val="ListParagraph"/>
        <w:numPr>
          <w:ilvl w:val="0"/>
          <w:numId w:val="169"/>
        </w:numPr>
        <w:spacing w:after="120"/>
        <w:contextualSpacing w:val="0"/>
        <w:rPr>
          <w:highlight w:val="yellow"/>
        </w:rPr>
      </w:pPr>
      <w:r w:rsidRPr="00AF7381">
        <w:rPr>
          <w:highlight w:val="yellow"/>
        </w:rPr>
        <w:t>Chronic homeless status</w:t>
      </w:r>
    </w:p>
    <w:p w14:paraId="2B14D89B" w14:textId="77777777" w:rsidR="00AF7381" w:rsidRPr="00AF7381" w:rsidRDefault="00AF7381">
      <w:pPr>
        <w:pStyle w:val="ListParagraph"/>
        <w:numPr>
          <w:ilvl w:val="0"/>
          <w:numId w:val="169"/>
        </w:numPr>
        <w:spacing w:after="120"/>
        <w:contextualSpacing w:val="0"/>
        <w:rPr>
          <w:highlight w:val="yellow"/>
        </w:rPr>
      </w:pPr>
      <w:r w:rsidRPr="00AF7381">
        <w:rPr>
          <w:highlight w:val="yellow"/>
        </w:rPr>
        <w:t xml:space="preserve">Length of time homeless  </w:t>
      </w:r>
    </w:p>
    <w:p w14:paraId="59C671EC" w14:textId="77777777" w:rsidR="00AF7381" w:rsidRPr="00AF7381" w:rsidRDefault="00AF7381" w:rsidP="00AF7381">
      <w:pPr>
        <w:jc w:val="both"/>
        <w:rPr>
          <w:highlight w:val="yellow"/>
        </w:rPr>
      </w:pPr>
      <w:r w:rsidRPr="00AF7381">
        <w:rPr>
          <w:highlight w:val="yellow"/>
        </w:rPr>
        <w:t>Households seeking Permanent Supportive Housing (PHS) are prioritized on their Modified VI-SPDAT score in HMIS, and chronic status and score.</w:t>
      </w:r>
      <w:r w:rsidRPr="00AF7381">
        <w:rPr>
          <w:b/>
          <w:bCs/>
          <w:highlight w:val="yellow"/>
        </w:rPr>
        <w:t xml:space="preserve">  </w:t>
      </w:r>
      <w:r w:rsidRPr="00AF7381">
        <w:rPr>
          <w:highlight w:val="yellow"/>
        </w:rPr>
        <w:t xml:space="preserve">In the event a household scores for PSH, but no such resource is available, the HDC may offer Rapid Rehousing, Transitional Housing, or Emergency Shelter.  During weekly case conferencing meetings, the HDC will match each household to available, appropriate services.  Where necessary, the HDC may decide to use Rapid Rehousing as a bridge to Permanent Supportive Housing.  In such cases, the household would remain active for prioritization for Permanent Supportive Housing.  Where a household </w:t>
      </w:r>
      <w:r w:rsidRPr="00AF7381">
        <w:rPr>
          <w:highlight w:val="yellow"/>
        </w:rPr>
        <w:lastRenderedPageBreak/>
        <w:t>scores for Permanent Supportive Housing, but is not deemed chronically homeless, HDC may choose to offer Rapid Rehousing or, where appropriate, Transitional Housing.</w:t>
      </w:r>
    </w:p>
    <w:p w14:paraId="2D0D4CBE" w14:textId="77777777" w:rsidR="00AF7381" w:rsidRPr="00AF7381" w:rsidRDefault="00AF7381" w:rsidP="00AF7381">
      <w:pPr>
        <w:jc w:val="both"/>
        <w:rPr>
          <w:b/>
          <w:bCs/>
          <w:highlight w:val="yellow"/>
        </w:rPr>
      </w:pPr>
    </w:p>
    <w:p w14:paraId="7245DEFA" w14:textId="77777777" w:rsidR="00AF7381" w:rsidRPr="00AF7381" w:rsidRDefault="00AF7381" w:rsidP="00AF7381">
      <w:pPr>
        <w:rPr>
          <w:highlight w:val="yellow"/>
        </w:rPr>
      </w:pPr>
      <w:r w:rsidRPr="00AF7381">
        <w:rPr>
          <w:highlight w:val="yellow"/>
        </w:rPr>
        <w:t>Households are prioritized for Permanent Supportive Housing according to HUD Notice CPD 16-11 and the CSCoC’s written standards.</w:t>
      </w:r>
    </w:p>
    <w:p w14:paraId="7D88015F" w14:textId="77777777" w:rsidR="00AF7381" w:rsidRPr="00AF7381" w:rsidRDefault="00AF7381" w:rsidP="00AF7381">
      <w:pPr>
        <w:rPr>
          <w:highlight w:val="yellow"/>
        </w:rPr>
      </w:pPr>
    </w:p>
    <w:p w14:paraId="65A990B8" w14:textId="77777777" w:rsidR="00AF7381" w:rsidRPr="00AF7381" w:rsidRDefault="00AF7381" w:rsidP="00AF7381">
      <w:pPr>
        <w:rPr>
          <w:highlight w:val="yellow"/>
          <w:u w:val="single"/>
        </w:rPr>
      </w:pPr>
      <w:r w:rsidRPr="00AF7381">
        <w:rPr>
          <w:highlight w:val="yellow"/>
          <w:u w:val="single"/>
        </w:rPr>
        <w:t>Rapid Rehousing</w:t>
      </w:r>
    </w:p>
    <w:p w14:paraId="3521E2BF" w14:textId="77777777" w:rsidR="00AF7381" w:rsidRPr="00AF7381" w:rsidRDefault="00AF7381" w:rsidP="00AF7381">
      <w:pPr>
        <w:jc w:val="both"/>
        <w:rPr>
          <w:highlight w:val="yellow"/>
        </w:rPr>
      </w:pPr>
      <w:r w:rsidRPr="00AF7381">
        <w:rPr>
          <w:highlight w:val="yellow"/>
        </w:rPr>
        <w:t xml:space="preserve">Households seeking or utilizing RRH are prioritized by household type (adults only and those with children), followed by total score.  All households that are literally homeless who cannot quickly secure housing on their own or with another form of assistance are screened for and offered rapid re-housing assistance, to the extent they are </w:t>
      </w:r>
      <w:proofErr w:type="gramStart"/>
      <w:r w:rsidRPr="00AF7381">
        <w:rPr>
          <w:highlight w:val="yellow"/>
        </w:rPr>
        <w:t>eligible</w:t>
      </w:r>
      <w:proofErr w:type="gramEnd"/>
      <w:r w:rsidRPr="00AF7381">
        <w:rPr>
          <w:highlight w:val="yellow"/>
        </w:rPr>
        <w:t xml:space="preserve"> and assistance is available.  Households are prioritized for RRH according to the CSCoC’s Written Standards.  Written Standards for RRH reflect prioritization and placement using the Modified VI-SPDAT.  </w:t>
      </w:r>
    </w:p>
    <w:p w14:paraId="7004958C" w14:textId="77777777" w:rsidR="00AF7381" w:rsidRPr="00AF7381" w:rsidRDefault="00AF7381" w:rsidP="00AF7381">
      <w:pPr>
        <w:jc w:val="both"/>
        <w:rPr>
          <w:highlight w:val="yellow"/>
        </w:rPr>
      </w:pPr>
    </w:p>
    <w:p w14:paraId="7AEA05BB" w14:textId="77777777" w:rsidR="00AF7381" w:rsidRPr="00AF7381" w:rsidRDefault="00AF7381" w:rsidP="00AF7381">
      <w:pPr>
        <w:jc w:val="both"/>
        <w:rPr>
          <w:highlight w:val="yellow"/>
        </w:rPr>
      </w:pPr>
      <w:r w:rsidRPr="00AF7381">
        <w:rPr>
          <w:highlight w:val="yellow"/>
        </w:rPr>
        <w:t>Households are prioritized for available housing openings and rapid placement into housing.  Households are referred to a PSH placement if a unit is available.  If the household accepts RRH, they may still maintain their chronic homeless status for Permanent Supportive Housing and remain on the PSH waitlist.</w:t>
      </w:r>
    </w:p>
    <w:p w14:paraId="7EEACA18" w14:textId="77777777" w:rsidR="00AF7381" w:rsidRPr="00AF7381" w:rsidRDefault="00AF7381" w:rsidP="00AF7381">
      <w:pPr>
        <w:jc w:val="both"/>
        <w:rPr>
          <w:b/>
          <w:bCs/>
          <w:highlight w:val="yellow"/>
        </w:rPr>
      </w:pPr>
    </w:p>
    <w:p w14:paraId="105801F8" w14:textId="77777777" w:rsidR="00AF7381" w:rsidRPr="00AF7381" w:rsidRDefault="00AF7381" w:rsidP="00AF7381">
      <w:pPr>
        <w:spacing w:before="120"/>
        <w:rPr>
          <w:highlight w:val="yellow"/>
          <w:u w:val="single"/>
        </w:rPr>
      </w:pPr>
      <w:bookmarkStart w:id="83" w:name="_Hlk34043795"/>
      <w:r w:rsidRPr="00AF7381">
        <w:rPr>
          <w:highlight w:val="yellow"/>
          <w:u w:val="single"/>
        </w:rPr>
        <w:t>Managing the Priority List</w:t>
      </w:r>
    </w:p>
    <w:p w14:paraId="1B503554" w14:textId="77777777" w:rsidR="00AF7381" w:rsidRPr="00AF7381" w:rsidRDefault="00AF7381" w:rsidP="00AF7381">
      <w:pPr>
        <w:jc w:val="both"/>
        <w:rPr>
          <w:highlight w:val="yellow"/>
        </w:rPr>
      </w:pPr>
      <w:r w:rsidRPr="00AF7381">
        <w:rPr>
          <w:highlight w:val="yellow"/>
        </w:rPr>
        <w:t xml:space="preserve">The prioritization approach must be balanced with HUD’S recommendation to avoid creating long waiting lists of potential program participants for resources that do not exist or are not available.  </w:t>
      </w:r>
    </w:p>
    <w:p w14:paraId="6F1A8DC3" w14:textId="77777777" w:rsidR="00AF7381" w:rsidRPr="00AF7381" w:rsidRDefault="00AF7381" w:rsidP="00AF7381">
      <w:pPr>
        <w:spacing w:after="120"/>
        <w:jc w:val="both"/>
        <w:rPr>
          <w:highlight w:val="yellow"/>
        </w:rPr>
      </w:pPr>
      <w:r w:rsidRPr="00AF7381">
        <w:rPr>
          <w:highlight w:val="yellow"/>
        </w:rPr>
        <w:t xml:space="preserve">The following chart is a guide for prioritization.  Determination will be agreed upon and authorized during the weekly CES call - based on vulnerability level: </w:t>
      </w:r>
    </w:p>
    <w:p w14:paraId="68BD5F28" w14:textId="77777777" w:rsidR="00AF7381" w:rsidRPr="00AF7381" w:rsidRDefault="00AF7381" w:rsidP="00AF7381">
      <w:pPr>
        <w:spacing w:after="120"/>
        <w:jc w:val="both"/>
        <w:rPr>
          <w:highlight w:val="yellow"/>
        </w:rPr>
      </w:pPr>
      <w:r w:rsidRPr="00AF7381">
        <w:rPr>
          <w:highlight w:val="yellow"/>
        </w:rPr>
        <w:t xml:space="preserve"> </w:t>
      </w:r>
    </w:p>
    <w:bookmarkEnd w:id="83"/>
    <w:tbl>
      <w:tblPr>
        <w:tblStyle w:val="TableGrid"/>
        <w:tblW w:w="9463" w:type="dxa"/>
        <w:jc w:val="center"/>
        <w:tblLook w:val="04A0" w:firstRow="1" w:lastRow="0" w:firstColumn="1" w:lastColumn="0" w:noHBand="0" w:noVBand="1"/>
      </w:tblPr>
      <w:tblGrid>
        <w:gridCol w:w="1276"/>
        <w:gridCol w:w="3309"/>
        <w:gridCol w:w="4878"/>
      </w:tblGrid>
      <w:tr w:rsidR="00AF7381" w:rsidRPr="00AF7381" w14:paraId="27B925E5" w14:textId="77777777" w:rsidTr="0053139E">
        <w:trPr>
          <w:jc w:val="center"/>
        </w:trPr>
        <w:tc>
          <w:tcPr>
            <w:tcW w:w="1276" w:type="dxa"/>
          </w:tcPr>
          <w:p w14:paraId="43F88255" w14:textId="77777777" w:rsidR="00AF7381" w:rsidRPr="00AF7381" w:rsidRDefault="00AF7381" w:rsidP="0053139E">
            <w:pPr>
              <w:rPr>
                <w:b/>
                <w:bCs/>
                <w:sz w:val="20"/>
                <w:szCs w:val="20"/>
                <w:highlight w:val="yellow"/>
                <w:u w:val="single"/>
              </w:rPr>
            </w:pPr>
          </w:p>
        </w:tc>
        <w:tc>
          <w:tcPr>
            <w:tcW w:w="3309" w:type="dxa"/>
          </w:tcPr>
          <w:p w14:paraId="2FACD9EF" w14:textId="77777777" w:rsidR="00AF7381" w:rsidRPr="00AF7381" w:rsidRDefault="00AF7381" w:rsidP="0053139E">
            <w:pPr>
              <w:rPr>
                <w:b/>
                <w:bCs/>
                <w:sz w:val="20"/>
                <w:szCs w:val="20"/>
                <w:highlight w:val="yellow"/>
                <w:u w:val="single"/>
              </w:rPr>
            </w:pPr>
            <w:r w:rsidRPr="00AF7381">
              <w:rPr>
                <w:b/>
                <w:bCs/>
                <w:sz w:val="20"/>
                <w:szCs w:val="20"/>
                <w:highlight w:val="yellow"/>
                <w:u w:val="single"/>
              </w:rPr>
              <w:t>Permanent Supportive Housing</w:t>
            </w:r>
          </w:p>
        </w:tc>
        <w:tc>
          <w:tcPr>
            <w:tcW w:w="4878" w:type="dxa"/>
          </w:tcPr>
          <w:p w14:paraId="1531849D" w14:textId="77777777" w:rsidR="00AF7381" w:rsidRPr="00AF7381" w:rsidRDefault="00AF7381" w:rsidP="0053139E">
            <w:pPr>
              <w:rPr>
                <w:b/>
                <w:bCs/>
                <w:sz w:val="20"/>
                <w:szCs w:val="20"/>
                <w:highlight w:val="yellow"/>
                <w:u w:val="single"/>
              </w:rPr>
            </w:pPr>
            <w:r w:rsidRPr="00AF7381">
              <w:rPr>
                <w:b/>
                <w:bCs/>
                <w:sz w:val="20"/>
                <w:szCs w:val="20"/>
                <w:highlight w:val="yellow"/>
                <w:u w:val="single"/>
              </w:rPr>
              <w:t>Rapid Rehousing</w:t>
            </w:r>
          </w:p>
        </w:tc>
      </w:tr>
      <w:tr w:rsidR="00AF7381" w:rsidRPr="00AF7381" w14:paraId="6FD93D49" w14:textId="77777777" w:rsidTr="0053139E">
        <w:trPr>
          <w:jc w:val="center"/>
        </w:trPr>
        <w:tc>
          <w:tcPr>
            <w:tcW w:w="1276" w:type="dxa"/>
            <w:vMerge w:val="restart"/>
          </w:tcPr>
          <w:p w14:paraId="04EF9823" w14:textId="77777777" w:rsidR="00AF7381" w:rsidRPr="00AF7381" w:rsidRDefault="00AF7381" w:rsidP="0053139E">
            <w:pPr>
              <w:rPr>
                <w:i/>
                <w:iCs/>
                <w:highlight w:val="yellow"/>
                <w:u w:val="single"/>
              </w:rPr>
            </w:pPr>
            <w:r w:rsidRPr="00AF7381">
              <w:rPr>
                <w:i/>
                <w:iCs/>
                <w:highlight w:val="yellow"/>
                <w:u w:val="single"/>
              </w:rPr>
              <w:t>Priority 1</w:t>
            </w:r>
          </w:p>
        </w:tc>
        <w:tc>
          <w:tcPr>
            <w:tcW w:w="3309" w:type="dxa"/>
          </w:tcPr>
          <w:p w14:paraId="76AC374D" w14:textId="77777777" w:rsidR="00AF7381" w:rsidRPr="00AF7381" w:rsidRDefault="00AF7381" w:rsidP="0053139E">
            <w:pPr>
              <w:rPr>
                <w:sz w:val="20"/>
                <w:szCs w:val="20"/>
                <w:highlight w:val="yellow"/>
                <w:u w:val="single"/>
              </w:rPr>
            </w:pPr>
            <w:r w:rsidRPr="00AF7381">
              <w:rPr>
                <w:sz w:val="20"/>
                <w:szCs w:val="20"/>
                <w:highlight w:val="yellow"/>
              </w:rPr>
              <w:t>Modified VI-SPDAT Score: 8+</w:t>
            </w:r>
          </w:p>
        </w:tc>
        <w:tc>
          <w:tcPr>
            <w:tcW w:w="4878" w:type="dxa"/>
          </w:tcPr>
          <w:p w14:paraId="47D274D7" w14:textId="77777777" w:rsidR="00AF7381" w:rsidRPr="00AF7381" w:rsidRDefault="00AF7381" w:rsidP="0053139E">
            <w:pPr>
              <w:rPr>
                <w:sz w:val="20"/>
                <w:szCs w:val="20"/>
                <w:highlight w:val="yellow"/>
                <w:u w:val="single"/>
              </w:rPr>
            </w:pPr>
            <w:r w:rsidRPr="00AF7381">
              <w:rPr>
                <w:sz w:val="20"/>
                <w:szCs w:val="20"/>
                <w:highlight w:val="yellow"/>
              </w:rPr>
              <w:t>Modified VI-SPDAT Score: 4-7</w:t>
            </w:r>
          </w:p>
        </w:tc>
      </w:tr>
      <w:tr w:rsidR="00AF7381" w:rsidRPr="00AF7381" w14:paraId="4633094D" w14:textId="77777777" w:rsidTr="0053139E">
        <w:trPr>
          <w:jc w:val="center"/>
        </w:trPr>
        <w:tc>
          <w:tcPr>
            <w:tcW w:w="1276" w:type="dxa"/>
            <w:vMerge/>
          </w:tcPr>
          <w:p w14:paraId="7C1109E9" w14:textId="77777777" w:rsidR="00AF7381" w:rsidRPr="00AF7381" w:rsidRDefault="00AF7381" w:rsidP="0053139E">
            <w:pPr>
              <w:rPr>
                <w:i/>
                <w:iCs/>
                <w:highlight w:val="yellow"/>
                <w:u w:val="single"/>
              </w:rPr>
            </w:pPr>
          </w:p>
        </w:tc>
        <w:tc>
          <w:tcPr>
            <w:tcW w:w="3309" w:type="dxa"/>
          </w:tcPr>
          <w:p w14:paraId="34B61B2B" w14:textId="77777777" w:rsidR="00AF7381" w:rsidRPr="00AF7381" w:rsidRDefault="00AF7381" w:rsidP="0053139E">
            <w:pPr>
              <w:rPr>
                <w:sz w:val="20"/>
                <w:szCs w:val="20"/>
                <w:highlight w:val="yellow"/>
                <w:u w:val="single"/>
              </w:rPr>
            </w:pPr>
            <w:r w:rsidRPr="00AF7381">
              <w:rPr>
                <w:sz w:val="20"/>
                <w:szCs w:val="20"/>
                <w:highlight w:val="yellow"/>
              </w:rPr>
              <w:t>Chronic Homelessness</w:t>
            </w:r>
          </w:p>
        </w:tc>
        <w:tc>
          <w:tcPr>
            <w:tcW w:w="4878" w:type="dxa"/>
            <w:vMerge w:val="restart"/>
          </w:tcPr>
          <w:p w14:paraId="493D0D46" w14:textId="77777777" w:rsidR="00AF7381" w:rsidRPr="00AF7381" w:rsidRDefault="00AF7381" w:rsidP="0053139E">
            <w:pPr>
              <w:rPr>
                <w:sz w:val="20"/>
                <w:szCs w:val="20"/>
                <w:highlight w:val="yellow"/>
              </w:rPr>
            </w:pPr>
            <w:r w:rsidRPr="00AF7381">
              <w:rPr>
                <w:sz w:val="20"/>
                <w:szCs w:val="20"/>
                <w:highlight w:val="yellow"/>
              </w:rPr>
              <w:t>Chronic Homelessness</w:t>
            </w:r>
          </w:p>
        </w:tc>
      </w:tr>
      <w:tr w:rsidR="00AF7381" w:rsidRPr="00AF7381" w14:paraId="531FBC9F" w14:textId="77777777" w:rsidTr="0053139E">
        <w:trPr>
          <w:jc w:val="center"/>
        </w:trPr>
        <w:tc>
          <w:tcPr>
            <w:tcW w:w="1276" w:type="dxa"/>
            <w:vMerge/>
            <w:tcBorders>
              <w:bottom w:val="single" w:sz="4" w:space="0" w:color="auto"/>
            </w:tcBorders>
          </w:tcPr>
          <w:p w14:paraId="2EF8A4C4" w14:textId="77777777" w:rsidR="00AF7381" w:rsidRPr="00AF7381" w:rsidRDefault="00AF7381" w:rsidP="0053139E">
            <w:pPr>
              <w:rPr>
                <w:i/>
                <w:iCs/>
                <w:highlight w:val="yellow"/>
                <w:u w:val="single"/>
              </w:rPr>
            </w:pPr>
          </w:p>
        </w:tc>
        <w:tc>
          <w:tcPr>
            <w:tcW w:w="3309" w:type="dxa"/>
            <w:tcBorders>
              <w:bottom w:val="single" w:sz="4" w:space="0" w:color="auto"/>
            </w:tcBorders>
          </w:tcPr>
          <w:p w14:paraId="13D5CC39" w14:textId="77777777" w:rsidR="00AF7381" w:rsidRPr="00AF7381" w:rsidRDefault="00AF7381" w:rsidP="0053139E">
            <w:pPr>
              <w:rPr>
                <w:sz w:val="20"/>
                <w:szCs w:val="20"/>
                <w:highlight w:val="yellow"/>
              </w:rPr>
            </w:pPr>
            <w:r w:rsidRPr="00AF7381">
              <w:rPr>
                <w:sz w:val="20"/>
                <w:szCs w:val="20"/>
                <w:highlight w:val="yellow"/>
              </w:rPr>
              <w:t>Tri-Morbidity</w:t>
            </w:r>
          </w:p>
          <w:p w14:paraId="0C085218" w14:textId="77777777" w:rsidR="00AF7381" w:rsidRPr="00AF7381" w:rsidRDefault="00AF7381">
            <w:pPr>
              <w:pStyle w:val="ListParagraph"/>
              <w:numPr>
                <w:ilvl w:val="2"/>
                <w:numId w:val="159"/>
              </w:numPr>
              <w:ind w:left="533" w:hanging="187"/>
              <w:contextualSpacing w:val="0"/>
              <w:rPr>
                <w:sz w:val="20"/>
                <w:szCs w:val="20"/>
                <w:highlight w:val="yellow"/>
              </w:rPr>
            </w:pPr>
            <w:r w:rsidRPr="00AF7381">
              <w:rPr>
                <w:sz w:val="20"/>
                <w:szCs w:val="20"/>
                <w:highlight w:val="yellow"/>
              </w:rPr>
              <w:t>Physical Health</w:t>
            </w:r>
          </w:p>
          <w:p w14:paraId="36421CB7" w14:textId="77777777" w:rsidR="00AF7381" w:rsidRPr="00AF7381" w:rsidRDefault="00AF7381">
            <w:pPr>
              <w:pStyle w:val="ListParagraph"/>
              <w:numPr>
                <w:ilvl w:val="2"/>
                <w:numId w:val="159"/>
              </w:numPr>
              <w:ind w:left="533" w:hanging="187"/>
              <w:contextualSpacing w:val="0"/>
              <w:rPr>
                <w:sz w:val="20"/>
                <w:szCs w:val="20"/>
                <w:highlight w:val="yellow"/>
                <w:u w:val="single"/>
              </w:rPr>
            </w:pPr>
            <w:r w:rsidRPr="00AF7381">
              <w:rPr>
                <w:sz w:val="20"/>
                <w:szCs w:val="20"/>
                <w:highlight w:val="yellow"/>
              </w:rPr>
              <w:t>Mental Health</w:t>
            </w:r>
          </w:p>
          <w:p w14:paraId="21546296" w14:textId="77777777" w:rsidR="00AF7381" w:rsidRPr="00AF7381" w:rsidRDefault="00AF7381">
            <w:pPr>
              <w:pStyle w:val="ListParagraph"/>
              <w:numPr>
                <w:ilvl w:val="2"/>
                <w:numId w:val="159"/>
              </w:numPr>
              <w:ind w:left="533" w:hanging="187"/>
              <w:contextualSpacing w:val="0"/>
              <w:rPr>
                <w:sz w:val="20"/>
                <w:szCs w:val="20"/>
                <w:highlight w:val="yellow"/>
                <w:u w:val="single"/>
              </w:rPr>
            </w:pPr>
            <w:r w:rsidRPr="00AF7381">
              <w:rPr>
                <w:sz w:val="20"/>
                <w:szCs w:val="20"/>
                <w:highlight w:val="yellow"/>
              </w:rPr>
              <w:t>Substance Use</w:t>
            </w:r>
          </w:p>
          <w:p w14:paraId="3D56E09F" w14:textId="77777777" w:rsidR="00AF7381" w:rsidRPr="00AF7381" w:rsidRDefault="00AF7381" w:rsidP="0053139E">
            <w:pPr>
              <w:pStyle w:val="ListParagraph"/>
              <w:ind w:left="533"/>
              <w:contextualSpacing w:val="0"/>
              <w:rPr>
                <w:sz w:val="20"/>
                <w:szCs w:val="20"/>
                <w:highlight w:val="yellow"/>
                <w:u w:val="single"/>
              </w:rPr>
            </w:pPr>
          </w:p>
        </w:tc>
        <w:tc>
          <w:tcPr>
            <w:tcW w:w="4878" w:type="dxa"/>
            <w:vMerge/>
            <w:tcBorders>
              <w:bottom w:val="single" w:sz="4" w:space="0" w:color="auto"/>
            </w:tcBorders>
          </w:tcPr>
          <w:p w14:paraId="48F3FC38" w14:textId="77777777" w:rsidR="00AF7381" w:rsidRPr="00AF7381" w:rsidRDefault="00AF7381" w:rsidP="0053139E">
            <w:pPr>
              <w:rPr>
                <w:sz w:val="20"/>
                <w:szCs w:val="20"/>
                <w:highlight w:val="yellow"/>
                <w:u w:val="single"/>
              </w:rPr>
            </w:pPr>
          </w:p>
        </w:tc>
      </w:tr>
      <w:tr w:rsidR="00AF7381" w:rsidRPr="00AF7381" w14:paraId="5D490247" w14:textId="77777777" w:rsidTr="0053139E">
        <w:trPr>
          <w:jc w:val="center"/>
        </w:trPr>
        <w:tc>
          <w:tcPr>
            <w:tcW w:w="1276" w:type="dxa"/>
            <w:vMerge w:val="restart"/>
            <w:tcBorders>
              <w:top w:val="single" w:sz="4" w:space="0" w:color="auto"/>
            </w:tcBorders>
          </w:tcPr>
          <w:p w14:paraId="0393F628" w14:textId="77777777" w:rsidR="00AF7381" w:rsidRPr="00AF7381" w:rsidRDefault="00AF7381" w:rsidP="0053139E">
            <w:pPr>
              <w:rPr>
                <w:i/>
                <w:iCs/>
                <w:highlight w:val="yellow"/>
                <w:u w:val="single"/>
              </w:rPr>
            </w:pPr>
            <w:r w:rsidRPr="00AF7381">
              <w:rPr>
                <w:i/>
                <w:iCs/>
                <w:highlight w:val="yellow"/>
                <w:u w:val="single"/>
              </w:rPr>
              <w:t>Priority 2</w:t>
            </w:r>
          </w:p>
        </w:tc>
        <w:tc>
          <w:tcPr>
            <w:tcW w:w="3309" w:type="dxa"/>
            <w:tcBorders>
              <w:top w:val="single" w:sz="4" w:space="0" w:color="auto"/>
            </w:tcBorders>
          </w:tcPr>
          <w:p w14:paraId="5E572091" w14:textId="77777777" w:rsidR="00AF7381" w:rsidRPr="00AF7381" w:rsidRDefault="00AF7381" w:rsidP="0053139E">
            <w:pPr>
              <w:rPr>
                <w:sz w:val="20"/>
                <w:szCs w:val="20"/>
                <w:highlight w:val="yellow"/>
                <w:u w:val="single"/>
              </w:rPr>
            </w:pPr>
            <w:r w:rsidRPr="00AF7381">
              <w:rPr>
                <w:sz w:val="20"/>
                <w:szCs w:val="20"/>
                <w:highlight w:val="yellow"/>
              </w:rPr>
              <w:t>Modified VI-SPDAT Score: 8+</w:t>
            </w:r>
          </w:p>
        </w:tc>
        <w:tc>
          <w:tcPr>
            <w:tcW w:w="4878" w:type="dxa"/>
            <w:tcBorders>
              <w:top w:val="single" w:sz="4" w:space="0" w:color="auto"/>
            </w:tcBorders>
          </w:tcPr>
          <w:p w14:paraId="4F8931D1" w14:textId="77777777" w:rsidR="00AF7381" w:rsidRPr="00AF7381" w:rsidRDefault="00AF7381" w:rsidP="0053139E">
            <w:pPr>
              <w:rPr>
                <w:sz w:val="20"/>
                <w:szCs w:val="20"/>
                <w:highlight w:val="yellow"/>
                <w:u w:val="single"/>
              </w:rPr>
            </w:pPr>
            <w:r w:rsidRPr="00AF7381">
              <w:rPr>
                <w:sz w:val="20"/>
                <w:szCs w:val="20"/>
                <w:highlight w:val="yellow"/>
              </w:rPr>
              <w:t>Modified VI-SPDAT Score: 4-7</w:t>
            </w:r>
          </w:p>
        </w:tc>
      </w:tr>
      <w:tr w:rsidR="00AF7381" w:rsidRPr="00AF7381" w14:paraId="790E9803" w14:textId="77777777" w:rsidTr="0053139E">
        <w:trPr>
          <w:jc w:val="center"/>
        </w:trPr>
        <w:tc>
          <w:tcPr>
            <w:tcW w:w="1276" w:type="dxa"/>
            <w:vMerge/>
          </w:tcPr>
          <w:p w14:paraId="54E95873" w14:textId="77777777" w:rsidR="00AF7381" w:rsidRPr="00AF7381" w:rsidRDefault="00AF7381" w:rsidP="0053139E">
            <w:pPr>
              <w:rPr>
                <w:i/>
                <w:iCs/>
                <w:highlight w:val="yellow"/>
                <w:u w:val="single"/>
              </w:rPr>
            </w:pPr>
          </w:p>
        </w:tc>
        <w:tc>
          <w:tcPr>
            <w:tcW w:w="3309" w:type="dxa"/>
          </w:tcPr>
          <w:p w14:paraId="16F31AE2" w14:textId="77777777" w:rsidR="00AF7381" w:rsidRPr="00AF7381" w:rsidRDefault="00AF7381" w:rsidP="0053139E">
            <w:pPr>
              <w:rPr>
                <w:sz w:val="20"/>
                <w:szCs w:val="20"/>
                <w:highlight w:val="yellow"/>
              </w:rPr>
            </w:pPr>
            <w:r w:rsidRPr="00AF7381">
              <w:rPr>
                <w:sz w:val="20"/>
                <w:szCs w:val="20"/>
                <w:highlight w:val="yellow"/>
              </w:rPr>
              <w:t>Chronic Homelessness</w:t>
            </w:r>
          </w:p>
        </w:tc>
        <w:tc>
          <w:tcPr>
            <w:tcW w:w="4878" w:type="dxa"/>
            <w:vMerge w:val="restart"/>
          </w:tcPr>
          <w:p w14:paraId="075B012F" w14:textId="77777777" w:rsidR="00AF7381" w:rsidRPr="00AF7381" w:rsidRDefault="00AF7381" w:rsidP="0053139E">
            <w:pPr>
              <w:rPr>
                <w:sz w:val="20"/>
                <w:szCs w:val="20"/>
                <w:highlight w:val="yellow"/>
              </w:rPr>
            </w:pPr>
            <w:r w:rsidRPr="00AF7381">
              <w:rPr>
                <w:sz w:val="20"/>
                <w:szCs w:val="20"/>
                <w:highlight w:val="yellow"/>
              </w:rPr>
              <w:t>1+ HUD Disabling Conditions:</w:t>
            </w:r>
          </w:p>
          <w:p w14:paraId="49491A93" w14:textId="77777777" w:rsidR="00AF7381" w:rsidRPr="00AF7381" w:rsidRDefault="00AF7381">
            <w:pPr>
              <w:pStyle w:val="ListParagraph"/>
              <w:numPr>
                <w:ilvl w:val="2"/>
                <w:numId w:val="159"/>
              </w:numPr>
              <w:ind w:left="533" w:hanging="187"/>
              <w:contextualSpacing w:val="0"/>
              <w:rPr>
                <w:sz w:val="20"/>
                <w:szCs w:val="20"/>
                <w:highlight w:val="yellow"/>
              </w:rPr>
            </w:pPr>
            <w:r w:rsidRPr="00AF7381">
              <w:rPr>
                <w:sz w:val="20"/>
                <w:szCs w:val="20"/>
                <w:highlight w:val="yellow"/>
              </w:rPr>
              <w:t>Physical Health</w:t>
            </w:r>
          </w:p>
          <w:p w14:paraId="148D6394" w14:textId="77777777" w:rsidR="00AF7381" w:rsidRPr="00AF7381" w:rsidRDefault="00AF7381">
            <w:pPr>
              <w:pStyle w:val="ListParagraph"/>
              <w:numPr>
                <w:ilvl w:val="2"/>
                <w:numId w:val="159"/>
              </w:numPr>
              <w:ind w:left="533" w:hanging="187"/>
              <w:contextualSpacing w:val="0"/>
              <w:rPr>
                <w:sz w:val="20"/>
                <w:szCs w:val="20"/>
                <w:highlight w:val="yellow"/>
              </w:rPr>
            </w:pPr>
            <w:r w:rsidRPr="00AF7381">
              <w:rPr>
                <w:sz w:val="20"/>
                <w:szCs w:val="20"/>
                <w:highlight w:val="yellow"/>
              </w:rPr>
              <w:t>Mental Health</w:t>
            </w:r>
          </w:p>
          <w:p w14:paraId="0F31E701" w14:textId="77777777" w:rsidR="00AF7381" w:rsidRPr="00AF7381" w:rsidRDefault="00AF7381">
            <w:pPr>
              <w:pStyle w:val="ListParagraph"/>
              <w:numPr>
                <w:ilvl w:val="2"/>
                <w:numId w:val="159"/>
              </w:numPr>
              <w:ind w:left="533" w:hanging="187"/>
              <w:contextualSpacing w:val="0"/>
              <w:rPr>
                <w:sz w:val="20"/>
                <w:szCs w:val="20"/>
                <w:highlight w:val="yellow"/>
              </w:rPr>
            </w:pPr>
            <w:r w:rsidRPr="00AF7381">
              <w:rPr>
                <w:sz w:val="20"/>
                <w:szCs w:val="20"/>
                <w:highlight w:val="yellow"/>
              </w:rPr>
              <w:t>Substance Use</w:t>
            </w:r>
          </w:p>
          <w:p w14:paraId="0877DAB9" w14:textId="77777777" w:rsidR="00AF7381" w:rsidRPr="00AF7381" w:rsidRDefault="00AF7381">
            <w:pPr>
              <w:pStyle w:val="ListParagraph"/>
              <w:numPr>
                <w:ilvl w:val="2"/>
                <w:numId w:val="159"/>
              </w:numPr>
              <w:ind w:left="533" w:hanging="187"/>
              <w:contextualSpacing w:val="0"/>
              <w:rPr>
                <w:sz w:val="20"/>
                <w:szCs w:val="20"/>
                <w:highlight w:val="yellow"/>
              </w:rPr>
            </w:pPr>
            <w:r w:rsidRPr="00AF7381">
              <w:rPr>
                <w:sz w:val="20"/>
                <w:szCs w:val="20"/>
                <w:highlight w:val="yellow"/>
              </w:rPr>
              <w:t>Developmental Disability</w:t>
            </w:r>
          </w:p>
        </w:tc>
      </w:tr>
      <w:tr w:rsidR="00AF7381" w:rsidRPr="00AF7381" w14:paraId="1E853192" w14:textId="77777777" w:rsidTr="0053139E">
        <w:trPr>
          <w:jc w:val="center"/>
        </w:trPr>
        <w:tc>
          <w:tcPr>
            <w:tcW w:w="1276" w:type="dxa"/>
            <w:vMerge/>
          </w:tcPr>
          <w:p w14:paraId="3FEA9CC2" w14:textId="77777777" w:rsidR="00AF7381" w:rsidRPr="00AF7381" w:rsidRDefault="00AF7381" w:rsidP="0053139E">
            <w:pPr>
              <w:rPr>
                <w:i/>
                <w:iCs/>
                <w:highlight w:val="yellow"/>
                <w:u w:val="single"/>
              </w:rPr>
            </w:pPr>
          </w:p>
        </w:tc>
        <w:tc>
          <w:tcPr>
            <w:tcW w:w="3309" w:type="dxa"/>
          </w:tcPr>
          <w:p w14:paraId="268C8715" w14:textId="77777777" w:rsidR="00AF7381" w:rsidRPr="00AF7381" w:rsidRDefault="00AF7381" w:rsidP="0053139E">
            <w:pPr>
              <w:rPr>
                <w:sz w:val="20"/>
                <w:szCs w:val="20"/>
                <w:highlight w:val="yellow"/>
              </w:rPr>
            </w:pPr>
            <w:r w:rsidRPr="00AF7381">
              <w:rPr>
                <w:sz w:val="20"/>
                <w:szCs w:val="20"/>
                <w:highlight w:val="yellow"/>
              </w:rPr>
              <w:t>2+ HUD Disabling Conditions:</w:t>
            </w:r>
          </w:p>
          <w:p w14:paraId="78270AD7" w14:textId="77777777" w:rsidR="00AF7381" w:rsidRPr="00AF7381" w:rsidRDefault="00AF7381">
            <w:pPr>
              <w:pStyle w:val="ListParagraph"/>
              <w:numPr>
                <w:ilvl w:val="2"/>
                <w:numId w:val="159"/>
              </w:numPr>
              <w:ind w:left="533" w:hanging="187"/>
              <w:contextualSpacing w:val="0"/>
              <w:rPr>
                <w:sz w:val="20"/>
                <w:szCs w:val="20"/>
                <w:highlight w:val="yellow"/>
              </w:rPr>
            </w:pPr>
            <w:r w:rsidRPr="00AF7381">
              <w:rPr>
                <w:sz w:val="20"/>
                <w:szCs w:val="20"/>
                <w:highlight w:val="yellow"/>
              </w:rPr>
              <w:t>Physical Health</w:t>
            </w:r>
          </w:p>
          <w:p w14:paraId="0CD7CE9F" w14:textId="77777777" w:rsidR="00AF7381" w:rsidRPr="00AF7381" w:rsidRDefault="00AF7381">
            <w:pPr>
              <w:pStyle w:val="ListParagraph"/>
              <w:numPr>
                <w:ilvl w:val="2"/>
                <w:numId w:val="159"/>
              </w:numPr>
              <w:ind w:left="533" w:hanging="187"/>
              <w:contextualSpacing w:val="0"/>
              <w:rPr>
                <w:sz w:val="20"/>
                <w:szCs w:val="20"/>
                <w:highlight w:val="yellow"/>
              </w:rPr>
            </w:pPr>
            <w:r w:rsidRPr="00AF7381">
              <w:rPr>
                <w:sz w:val="20"/>
                <w:szCs w:val="20"/>
                <w:highlight w:val="yellow"/>
              </w:rPr>
              <w:t>Mental Health</w:t>
            </w:r>
          </w:p>
          <w:p w14:paraId="4E1E6E9F" w14:textId="77777777" w:rsidR="00AF7381" w:rsidRPr="00AF7381" w:rsidRDefault="00AF7381">
            <w:pPr>
              <w:pStyle w:val="ListParagraph"/>
              <w:numPr>
                <w:ilvl w:val="2"/>
                <w:numId w:val="159"/>
              </w:numPr>
              <w:ind w:left="533" w:hanging="187"/>
              <w:contextualSpacing w:val="0"/>
              <w:rPr>
                <w:sz w:val="20"/>
                <w:szCs w:val="20"/>
                <w:highlight w:val="yellow"/>
              </w:rPr>
            </w:pPr>
            <w:r w:rsidRPr="00AF7381">
              <w:rPr>
                <w:sz w:val="20"/>
                <w:szCs w:val="20"/>
                <w:highlight w:val="yellow"/>
              </w:rPr>
              <w:t>Substance Use</w:t>
            </w:r>
          </w:p>
          <w:p w14:paraId="0086A0D5" w14:textId="77777777" w:rsidR="00AF7381" w:rsidRPr="00AF7381" w:rsidRDefault="00AF7381">
            <w:pPr>
              <w:pStyle w:val="ListParagraph"/>
              <w:numPr>
                <w:ilvl w:val="2"/>
                <w:numId w:val="159"/>
              </w:numPr>
              <w:ind w:left="533" w:hanging="187"/>
              <w:contextualSpacing w:val="0"/>
              <w:rPr>
                <w:sz w:val="20"/>
                <w:szCs w:val="20"/>
                <w:highlight w:val="yellow"/>
              </w:rPr>
            </w:pPr>
            <w:r w:rsidRPr="00AF7381">
              <w:rPr>
                <w:sz w:val="20"/>
                <w:szCs w:val="20"/>
                <w:highlight w:val="yellow"/>
              </w:rPr>
              <w:lastRenderedPageBreak/>
              <w:t>Developmental Disability</w:t>
            </w:r>
          </w:p>
          <w:p w14:paraId="47D4C167" w14:textId="77777777" w:rsidR="00AF7381" w:rsidRPr="00AF7381" w:rsidRDefault="00AF7381" w:rsidP="0053139E">
            <w:pPr>
              <w:pStyle w:val="ListParagraph"/>
              <w:ind w:left="533"/>
              <w:contextualSpacing w:val="0"/>
              <w:rPr>
                <w:sz w:val="20"/>
                <w:szCs w:val="20"/>
                <w:highlight w:val="yellow"/>
              </w:rPr>
            </w:pPr>
          </w:p>
        </w:tc>
        <w:tc>
          <w:tcPr>
            <w:tcW w:w="4878" w:type="dxa"/>
            <w:vMerge/>
          </w:tcPr>
          <w:p w14:paraId="480C64D6" w14:textId="77777777" w:rsidR="00AF7381" w:rsidRPr="00AF7381" w:rsidRDefault="00AF7381">
            <w:pPr>
              <w:pStyle w:val="ListParagraph"/>
              <w:numPr>
                <w:ilvl w:val="2"/>
                <w:numId w:val="159"/>
              </w:numPr>
              <w:ind w:left="526" w:hanging="180"/>
              <w:contextualSpacing w:val="0"/>
              <w:rPr>
                <w:sz w:val="20"/>
                <w:szCs w:val="20"/>
                <w:highlight w:val="yellow"/>
              </w:rPr>
            </w:pPr>
          </w:p>
        </w:tc>
      </w:tr>
      <w:tr w:rsidR="00AF7381" w:rsidRPr="00AF7381" w14:paraId="055A9829" w14:textId="77777777" w:rsidTr="0053139E">
        <w:trPr>
          <w:jc w:val="center"/>
        </w:trPr>
        <w:tc>
          <w:tcPr>
            <w:tcW w:w="1276" w:type="dxa"/>
            <w:vMerge w:val="restart"/>
          </w:tcPr>
          <w:p w14:paraId="76CB80FB" w14:textId="77777777" w:rsidR="00AF7381" w:rsidRPr="00AF7381" w:rsidRDefault="00AF7381" w:rsidP="0053139E">
            <w:pPr>
              <w:rPr>
                <w:i/>
                <w:iCs/>
                <w:highlight w:val="yellow"/>
                <w:u w:val="single"/>
              </w:rPr>
            </w:pPr>
            <w:r w:rsidRPr="00AF7381">
              <w:rPr>
                <w:i/>
                <w:iCs/>
                <w:highlight w:val="yellow"/>
                <w:u w:val="single"/>
              </w:rPr>
              <w:t>Priority 3</w:t>
            </w:r>
          </w:p>
        </w:tc>
        <w:tc>
          <w:tcPr>
            <w:tcW w:w="3309" w:type="dxa"/>
          </w:tcPr>
          <w:p w14:paraId="7820204E" w14:textId="77777777" w:rsidR="00AF7381" w:rsidRPr="00AF7381" w:rsidRDefault="00AF7381" w:rsidP="0053139E">
            <w:pPr>
              <w:rPr>
                <w:sz w:val="20"/>
                <w:szCs w:val="20"/>
                <w:highlight w:val="yellow"/>
              </w:rPr>
            </w:pPr>
            <w:r w:rsidRPr="00AF7381">
              <w:rPr>
                <w:sz w:val="20"/>
                <w:szCs w:val="20"/>
                <w:highlight w:val="yellow"/>
              </w:rPr>
              <w:t>Modified VI-SPDAT Score: 8+</w:t>
            </w:r>
          </w:p>
        </w:tc>
        <w:tc>
          <w:tcPr>
            <w:tcW w:w="4878" w:type="dxa"/>
            <w:vMerge w:val="restart"/>
          </w:tcPr>
          <w:p w14:paraId="03844BBF" w14:textId="77777777" w:rsidR="00AF7381" w:rsidRPr="00AF7381" w:rsidRDefault="00AF7381" w:rsidP="0053139E">
            <w:pPr>
              <w:rPr>
                <w:sz w:val="20"/>
                <w:szCs w:val="20"/>
                <w:highlight w:val="yellow"/>
              </w:rPr>
            </w:pPr>
            <w:r w:rsidRPr="00AF7381">
              <w:rPr>
                <w:sz w:val="20"/>
                <w:szCs w:val="20"/>
                <w:highlight w:val="yellow"/>
              </w:rPr>
              <w:t>Modified VI-SPDAT Score: 4-7</w:t>
            </w:r>
          </w:p>
        </w:tc>
      </w:tr>
      <w:tr w:rsidR="00AF7381" w:rsidRPr="00AF7381" w14:paraId="7EDED9FD" w14:textId="77777777" w:rsidTr="0053139E">
        <w:trPr>
          <w:jc w:val="center"/>
        </w:trPr>
        <w:tc>
          <w:tcPr>
            <w:tcW w:w="1276" w:type="dxa"/>
            <w:vMerge/>
          </w:tcPr>
          <w:p w14:paraId="7F8C1217" w14:textId="77777777" w:rsidR="00AF7381" w:rsidRPr="00AF7381" w:rsidRDefault="00AF7381" w:rsidP="0053139E">
            <w:pPr>
              <w:rPr>
                <w:highlight w:val="yellow"/>
                <w:u w:val="single"/>
              </w:rPr>
            </w:pPr>
          </w:p>
        </w:tc>
        <w:tc>
          <w:tcPr>
            <w:tcW w:w="3309" w:type="dxa"/>
          </w:tcPr>
          <w:p w14:paraId="3B9EFB36" w14:textId="77777777" w:rsidR="00AF7381" w:rsidRPr="00AF7381" w:rsidRDefault="00AF7381" w:rsidP="0053139E">
            <w:pPr>
              <w:rPr>
                <w:sz w:val="20"/>
                <w:szCs w:val="20"/>
                <w:highlight w:val="yellow"/>
              </w:rPr>
            </w:pPr>
            <w:r w:rsidRPr="00AF7381">
              <w:rPr>
                <w:sz w:val="20"/>
                <w:szCs w:val="20"/>
                <w:highlight w:val="yellow"/>
              </w:rPr>
              <w:t>Chronic Homelessness</w:t>
            </w:r>
          </w:p>
        </w:tc>
        <w:tc>
          <w:tcPr>
            <w:tcW w:w="4878" w:type="dxa"/>
            <w:vMerge/>
          </w:tcPr>
          <w:p w14:paraId="5D180E06" w14:textId="77777777" w:rsidR="00AF7381" w:rsidRPr="00AF7381" w:rsidRDefault="00AF7381" w:rsidP="0053139E">
            <w:pPr>
              <w:rPr>
                <w:sz w:val="20"/>
                <w:szCs w:val="20"/>
                <w:highlight w:val="yellow"/>
              </w:rPr>
            </w:pPr>
          </w:p>
        </w:tc>
      </w:tr>
      <w:tr w:rsidR="00AF7381" w:rsidRPr="00AF7381" w14:paraId="7A87CF3C" w14:textId="77777777" w:rsidTr="0053139E">
        <w:trPr>
          <w:jc w:val="center"/>
        </w:trPr>
        <w:tc>
          <w:tcPr>
            <w:tcW w:w="1276" w:type="dxa"/>
            <w:vMerge/>
          </w:tcPr>
          <w:p w14:paraId="465DA8A2" w14:textId="77777777" w:rsidR="00AF7381" w:rsidRPr="00AF7381" w:rsidRDefault="00AF7381" w:rsidP="0053139E">
            <w:pPr>
              <w:rPr>
                <w:highlight w:val="yellow"/>
                <w:u w:val="single"/>
              </w:rPr>
            </w:pPr>
          </w:p>
        </w:tc>
        <w:tc>
          <w:tcPr>
            <w:tcW w:w="3309" w:type="dxa"/>
          </w:tcPr>
          <w:p w14:paraId="121B3415" w14:textId="77777777" w:rsidR="00AF7381" w:rsidRPr="00AF7381" w:rsidRDefault="00AF7381" w:rsidP="0053139E">
            <w:pPr>
              <w:rPr>
                <w:sz w:val="20"/>
                <w:szCs w:val="20"/>
                <w:highlight w:val="yellow"/>
              </w:rPr>
            </w:pPr>
            <w:r w:rsidRPr="00AF7381">
              <w:rPr>
                <w:sz w:val="20"/>
                <w:szCs w:val="20"/>
                <w:highlight w:val="yellow"/>
              </w:rPr>
              <w:t>1 HUD Disabling Conditions:</w:t>
            </w:r>
          </w:p>
          <w:p w14:paraId="38A9CC51" w14:textId="77777777" w:rsidR="00AF7381" w:rsidRPr="00AF7381" w:rsidRDefault="00AF7381">
            <w:pPr>
              <w:pStyle w:val="ListParagraph"/>
              <w:numPr>
                <w:ilvl w:val="2"/>
                <w:numId w:val="159"/>
              </w:numPr>
              <w:ind w:left="533" w:hanging="187"/>
              <w:contextualSpacing w:val="0"/>
              <w:rPr>
                <w:sz w:val="20"/>
                <w:szCs w:val="20"/>
                <w:highlight w:val="yellow"/>
              </w:rPr>
            </w:pPr>
            <w:r w:rsidRPr="00AF7381">
              <w:rPr>
                <w:sz w:val="20"/>
                <w:szCs w:val="20"/>
                <w:highlight w:val="yellow"/>
              </w:rPr>
              <w:t>Physical Health</w:t>
            </w:r>
          </w:p>
          <w:p w14:paraId="65100C3A" w14:textId="77777777" w:rsidR="00AF7381" w:rsidRPr="00AF7381" w:rsidRDefault="00AF7381">
            <w:pPr>
              <w:pStyle w:val="ListParagraph"/>
              <w:numPr>
                <w:ilvl w:val="2"/>
                <w:numId w:val="159"/>
              </w:numPr>
              <w:ind w:left="533" w:hanging="187"/>
              <w:contextualSpacing w:val="0"/>
              <w:rPr>
                <w:sz w:val="20"/>
                <w:szCs w:val="20"/>
                <w:highlight w:val="yellow"/>
              </w:rPr>
            </w:pPr>
            <w:r w:rsidRPr="00AF7381">
              <w:rPr>
                <w:sz w:val="20"/>
                <w:szCs w:val="20"/>
                <w:highlight w:val="yellow"/>
              </w:rPr>
              <w:t>Mental Health</w:t>
            </w:r>
          </w:p>
          <w:p w14:paraId="33B1EDE1" w14:textId="77777777" w:rsidR="00AF7381" w:rsidRPr="00AF7381" w:rsidRDefault="00AF7381">
            <w:pPr>
              <w:pStyle w:val="ListParagraph"/>
              <w:numPr>
                <w:ilvl w:val="2"/>
                <w:numId w:val="159"/>
              </w:numPr>
              <w:ind w:left="533" w:hanging="187"/>
              <w:contextualSpacing w:val="0"/>
              <w:rPr>
                <w:sz w:val="20"/>
                <w:szCs w:val="20"/>
                <w:highlight w:val="yellow"/>
              </w:rPr>
            </w:pPr>
            <w:r w:rsidRPr="00AF7381">
              <w:rPr>
                <w:sz w:val="20"/>
                <w:szCs w:val="20"/>
                <w:highlight w:val="yellow"/>
              </w:rPr>
              <w:t>Substance Use</w:t>
            </w:r>
          </w:p>
          <w:p w14:paraId="4BFF9E4A" w14:textId="77777777" w:rsidR="00AF7381" w:rsidRPr="00AF7381" w:rsidRDefault="00AF7381">
            <w:pPr>
              <w:pStyle w:val="ListParagraph"/>
              <w:numPr>
                <w:ilvl w:val="2"/>
                <w:numId w:val="159"/>
              </w:numPr>
              <w:ind w:left="533" w:hanging="187"/>
              <w:contextualSpacing w:val="0"/>
              <w:rPr>
                <w:sz w:val="20"/>
                <w:szCs w:val="20"/>
                <w:highlight w:val="yellow"/>
              </w:rPr>
            </w:pPr>
            <w:r w:rsidRPr="00AF7381">
              <w:rPr>
                <w:sz w:val="20"/>
                <w:szCs w:val="20"/>
                <w:highlight w:val="yellow"/>
              </w:rPr>
              <w:t>Developmental Disability</w:t>
            </w:r>
          </w:p>
          <w:p w14:paraId="286856A6" w14:textId="77777777" w:rsidR="00AF7381" w:rsidRPr="00AF7381" w:rsidRDefault="00AF7381" w:rsidP="0053139E">
            <w:pPr>
              <w:pStyle w:val="ListParagraph"/>
              <w:ind w:left="533"/>
              <w:contextualSpacing w:val="0"/>
              <w:rPr>
                <w:sz w:val="20"/>
                <w:szCs w:val="20"/>
                <w:highlight w:val="yellow"/>
              </w:rPr>
            </w:pPr>
          </w:p>
        </w:tc>
        <w:tc>
          <w:tcPr>
            <w:tcW w:w="4878" w:type="dxa"/>
            <w:vMerge/>
          </w:tcPr>
          <w:p w14:paraId="45D0E902" w14:textId="77777777" w:rsidR="00AF7381" w:rsidRPr="00AF7381" w:rsidRDefault="00AF7381" w:rsidP="0053139E">
            <w:pPr>
              <w:rPr>
                <w:sz w:val="20"/>
                <w:szCs w:val="20"/>
                <w:highlight w:val="yellow"/>
              </w:rPr>
            </w:pPr>
          </w:p>
        </w:tc>
      </w:tr>
      <w:tr w:rsidR="00AF7381" w:rsidRPr="00AF7381" w14:paraId="51C87A0C" w14:textId="77777777" w:rsidTr="0053139E">
        <w:trPr>
          <w:jc w:val="center"/>
        </w:trPr>
        <w:tc>
          <w:tcPr>
            <w:tcW w:w="1276" w:type="dxa"/>
            <w:vMerge w:val="restart"/>
          </w:tcPr>
          <w:p w14:paraId="47262503" w14:textId="77777777" w:rsidR="00AF7381" w:rsidRPr="00AF7381" w:rsidRDefault="00AF7381" w:rsidP="0053139E">
            <w:pPr>
              <w:rPr>
                <w:highlight w:val="yellow"/>
                <w:u w:val="single"/>
              </w:rPr>
            </w:pPr>
            <w:r w:rsidRPr="00AF7381">
              <w:rPr>
                <w:highlight w:val="yellow"/>
                <w:u w:val="single"/>
              </w:rPr>
              <w:t>Priority 4</w:t>
            </w:r>
          </w:p>
        </w:tc>
        <w:tc>
          <w:tcPr>
            <w:tcW w:w="3309" w:type="dxa"/>
          </w:tcPr>
          <w:p w14:paraId="1D66B371" w14:textId="77777777" w:rsidR="00AF7381" w:rsidRPr="00AF7381" w:rsidRDefault="00AF7381" w:rsidP="0053139E">
            <w:pPr>
              <w:rPr>
                <w:sz w:val="20"/>
                <w:szCs w:val="20"/>
                <w:highlight w:val="yellow"/>
              </w:rPr>
            </w:pPr>
            <w:r w:rsidRPr="00AF7381">
              <w:rPr>
                <w:sz w:val="20"/>
                <w:szCs w:val="20"/>
                <w:highlight w:val="yellow"/>
              </w:rPr>
              <w:t>Modified VI-SPDAT Score: 8+</w:t>
            </w:r>
          </w:p>
        </w:tc>
        <w:tc>
          <w:tcPr>
            <w:tcW w:w="4878" w:type="dxa"/>
          </w:tcPr>
          <w:p w14:paraId="07FEB73E" w14:textId="77777777" w:rsidR="00AF7381" w:rsidRPr="00AF7381" w:rsidRDefault="00AF7381" w:rsidP="0053139E">
            <w:pPr>
              <w:rPr>
                <w:sz w:val="20"/>
                <w:szCs w:val="20"/>
                <w:highlight w:val="yellow"/>
              </w:rPr>
            </w:pPr>
            <w:r w:rsidRPr="00AF7381">
              <w:rPr>
                <w:sz w:val="20"/>
                <w:szCs w:val="20"/>
                <w:highlight w:val="yellow"/>
              </w:rPr>
              <w:t>Modified VI-SPDAT Score: 4-7</w:t>
            </w:r>
          </w:p>
        </w:tc>
      </w:tr>
      <w:tr w:rsidR="00AF7381" w:rsidRPr="00AF7381" w14:paraId="6C97CD2E" w14:textId="77777777" w:rsidTr="0053139E">
        <w:trPr>
          <w:jc w:val="center"/>
        </w:trPr>
        <w:tc>
          <w:tcPr>
            <w:tcW w:w="1276" w:type="dxa"/>
            <w:vMerge/>
          </w:tcPr>
          <w:p w14:paraId="12FF04DD" w14:textId="77777777" w:rsidR="00AF7381" w:rsidRPr="00AF7381" w:rsidRDefault="00AF7381" w:rsidP="0053139E">
            <w:pPr>
              <w:rPr>
                <w:highlight w:val="yellow"/>
                <w:u w:val="single"/>
              </w:rPr>
            </w:pPr>
          </w:p>
        </w:tc>
        <w:tc>
          <w:tcPr>
            <w:tcW w:w="3309" w:type="dxa"/>
          </w:tcPr>
          <w:p w14:paraId="5C6A5857" w14:textId="77777777" w:rsidR="00AF7381" w:rsidRPr="00AF7381" w:rsidRDefault="00AF7381" w:rsidP="0053139E">
            <w:pPr>
              <w:rPr>
                <w:sz w:val="20"/>
                <w:szCs w:val="20"/>
                <w:highlight w:val="yellow"/>
              </w:rPr>
            </w:pPr>
            <w:r w:rsidRPr="00AF7381">
              <w:rPr>
                <w:sz w:val="20"/>
                <w:szCs w:val="20"/>
                <w:highlight w:val="yellow"/>
              </w:rPr>
              <w:t>Chronic Homelessness</w:t>
            </w:r>
          </w:p>
        </w:tc>
        <w:tc>
          <w:tcPr>
            <w:tcW w:w="4878" w:type="dxa"/>
            <w:vMerge w:val="restart"/>
          </w:tcPr>
          <w:p w14:paraId="76CBFB70" w14:textId="77777777" w:rsidR="00AF7381" w:rsidRPr="00AF7381" w:rsidRDefault="00AF7381" w:rsidP="0053139E">
            <w:pPr>
              <w:rPr>
                <w:sz w:val="20"/>
                <w:szCs w:val="20"/>
                <w:highlight w:val="yellow"/>
              </w:rPr>
            </w:pPr>
            <w:r w:rsidRPr="00AF7381">
              <w:rPr>
                <w:sz w:val="20"/>
                <w:szCs w:val="20"/>
                <w:highlight w:val="yellow"/>
              </w:rPr>
              <w:t>Households scoring 8+ on the Modified VI-SPDAT may be considered for RRH if:</w:t>
            </w:r>
          </w:p>
          <w:p w14:paraId="0A79DEDE" w14:textId="77777777" w:rsidR="00AF7381" w:rsidRPr="00AF7381" w:rsidRDefault="00AF7381">
            <w:pPr>
              <w:pStyle w:val="ListParagraph"/>
              <w:numPr>
                <w:ilvl w:val="2"/>
                <w:numId w:val="159"/>
              </w:numPr>
              <w:ind w:left="346" w:hanging="180"/>
              <w:contextualSpacing w:val="0"/>
              <w:rPr>
                <w:sz w:val="20"/>
                <w:szCs w:val="20"/>
                <w:highlight w:val="yellow"/>
              </w:rPr>
            </w:pPr>
            <w:r w:rsidRPr="00AF7381">
              <w:rPr>
                <w:sz w:val="20"/>
                <w:szCs w:val="20"/>
                <w:highlight w:val="yellow"/>
              </w:rPr>
              <w:t>The household meets other RRH criteria;</w:t>
            </w:r>
          </w:p>
          <w:p w14:paraId="0067A2C6" w14:textId="77777777" w:rsidR="00AF7381" w:rsidRPr="00AF7381" w:rsidRDefault="00AF7381">
            <w:pPr>
              <w:pStyle w:val="ListParagraph"/>
              <w:numPr>
                <w:ilvl w:val="2"/>
                <w:numId w:val="159"/>
              </w:numPr>
              <w:ind w:left="346" w:hanging="180"/>
              <w:contextualSpacing w:val="0"/>
              <w:rPr>
                <w:sz w:val="20"/>
                <w:szCs w:val="20"/>
                <w:highlight w:val="yellow"/>
              </w:rPr>
            </w:pPr>
            <w:r w:rsidRPr="00AF7381">
              <w:rPr>
                <w:sz w:val="20"/>
                <w:szCs w:val="20"/>
                <w:highlight w:val="yellow"/>
              </w:rPr>
              <w:t>The household is referred to case conferencing due to objective, community-wide criteria; and</w:t>
            </w:r>
          </w:p>
          <w:p w14:paraId="22DC3B48" w14:textId="77777777" w:rsidR="00AF7381" w:rsidRPr="00AF7381" w:rsidRDefault="00AF7381">
            <w:pPr>
              <w:pStyle w:val="ListParagraph"/>
              <w:numPr>
                <w:ilvl w:val="2"/>
                <w:numId w:val="159"/>
              </w:numPr>
              <w:ind w:left="346" w:hanging="180"/>
              <w:contextualSpacing w:val="0"/>
              <w:rPr>
                <w:sz w:val="20"/>
                <w:szCs w:val="20"/>
                <w:highlight w:val="yellow"/>
              </w:rPr>
            </w:pPr>
            <w:r w:rsidRPr="00AF7381">
              <w:rPr>
                <w:sz w:val="20"/>
                <w:szCs w:val="20"/>
                <w:highlight w:val="yellow"/>
              </w:rPr>
              <w:t>Through case conferencing, the community determines that there is a substantial likelihood that RRH will meet the household’s housing and service needs</w:t>
            </w:r>
          </w:p>
          <w:p w14:paraId="75DAF938" w14:textId="77777777" w:rsidR="00AF7381" w:rsidRPr="00AF7381" w:rsidRDefault="00AF7381" w:rsidP="0053139E">
            <w:pPr>
              <w:pStyle w:val="ListParagraph"/>
              <w:ind w:left="346"/>
              <w:contextualSpacing w:val="0"/>
              <w:rPr>
                <w:sz w:val="20"/>
                <w:szCs w:val="20"/>
                <w:highlight w:val="yellow"/>
              </w:rPr>
            </w:pPr>
          </w:p>
        </w:tc>
      </w:tr>
      <w:tr w:rsidR="00AF7381" w:rsidRPr="00AF7381" w14:paraId="4C18B2D5" w14:textId="77777777" w:rsidTr="0053139E">
        <w:trPr>
          <w:jc w:val="center"/>
        </w:trPr>
        <w:tc>
          <w:tcPr>
            <w:tcW w:w="1276" w:type="dxa"/>
            <w:vMerge/>
          </w:tcPr>
          <w:p w14:paraId="16A75706" w14:textId="77777777" w:rsidR="00AF7381" w:rsidRPr="00AF7381" w:rsidRDefault="00AF7381" w:rsidP="0053139E">
            <w:pPr>
              <w:rPr>
                <w:highlight w:val="yellow"/>
                <w:u w:val="single"/>
              </w:rPr>
            </w:pPr>
          </w:p>
        </w:tc>
        <w:tc>
          <w:tcPr>
            <w:tcW w:w="3309" w:type="dxa"/>
          </w:tcPr>
          <w:p w14:paraId="2CC237A7" w14:textId="77777777" w:rsidR="00AF7381" w:rsidRPr="00AF7381" w:rsidRDefault="00AF7381" w:rsidP="0053139E">
            <w:pPr>
              <w:rPr>
                <w:sz w:val="20"/>
                <w:szCs w:val="20"/>
                <w:highlight w:val="yellow"/>
              </w:rPr>
            </w:pPr>
            <w:r w:rsidRPr="00AF7381">
              <w:rPr>
                <w:sz w:val="20"/>
                <w:szCs w:val="20"/>
                <w:highlight w:val="yellow"/>
              </w:rPr>
              <w:t>1 HUD Disabling Conditions:</w:t>
            </w:r>
          </w:p>
          <w:p w14:paraId="31DDDD88" w14:textId="77777777" w:rsidR="00AF7381" w:rsidRPr="00AF7381" w:rsidRDefault="00AF7381">
            <w:pPr>
              <w:pStyle w:val="ListParagraph"/>
              <w:numPr>
                <w:ilvl w:val="2"/>
                <w:numId w:val="159"/>
              </w:numPr>
              <w:ind w:left="360" w:hanging="187"/>
              <w:contextualSpacing w:val="0"/>
              <w:rPr>
                <w:sz w:val="20"/>
                <w:szCs w:val="20"/>
                <w:highlight w:val="yellow"/>
              </w:rPr>
            </w:pPr>
            <w:r w:rsidRPr="00AF7381">
              <w:rPr>
                <w:sz w:val="20"/>
                <w:szCs w:val="20"/>
                <w:highlight w:val="yellow"/>
              </w:rPr>
              <w:t>Physical Health</w:t>
            </w:r>
          </w:p>
          <w:p w14:paraId="27887869" w14:textId="77777777" w:rsidR="00AF7381" w:rsidRPr="00AF7381" w:rsidRDefault="00AF7381">
            <w:pPr>
              <w:pStyle w:val="ListParagraph"/>
              <w:numPr>
                <w:ilvl w:val="2"/>
                <w:numId w:val="159"/>
              </w:numPr>
              <w:ind w:left="360" w:hanging="187"/>
              <w:contextualSpacing w:val="0"/>
              <w:rPr>
                <w:sz w:val="20"/>
                <w:szCs w:val="20"/>
                <w:highlight w:val="yellow"/>
              </w:rPr>
            </w:pPr>
            <w:r w:rsidRPr="00AF7381">
              <w:rPr>
                <w:sz w:val="20"/>
                <w:szCs w:val="20"/>
                <w:highlight w:val="yellow"/>
              </w:rPr>
              <w:t>Mental Health</w:t>
            </w:r>
          </w:p>
          <w:p w14:paraId="39800AFE" w14:textId="77777777" w:rsidR="00AF7381" w:rsidRPr="00AF7381" w:rsidRDefault="00AF7381">
            <w:pPr>
              <w:pStyle w:val="ListParagraph"/>
              <w:numPr>
                <w:ilvl w:val="2"/>
                <w:numId w:val="159"/>
              </w:numPr>
              <w:ind w:left="360" w:hanging="187"/>
              <w:contextualSpacing w:val="0"/>
              <w:rPr>
                <w:sz w:val="20"/>
                <w:szCs w:val="20"/>
                <w:highlight w:val="yellow"/>
              </w:rPr>
            </w:pPr>
            <w:r w:rsidRPr="00AF7381">
              <w:rPr>
                <w:sz w:val="20"/>
                <w:szCs w:val="20"/>
                <w:highlight w:val="yellow"/>
              </w:rPr>
              <w:t>Substance Use</w:t>
            </w:r>
          </w:p>
          <w:p w14:paraId="00328A9E" w14:textId="77777777" w:rsidR="00AF7381" w:rsidRPr="00AF7381" w:rsidRDefault="00AF7381">
            <w:pPr>
              <w:pStyle w:val="ListParagraph"/>
              <w:numPr>
                <w:ilvl w:val="2"/>
                <w:numId w:val="159"/>
              </w:numPr>
              <w:ind w:left="360" w:hanging="187"/>
              <w:contextualSpacing w:val="0"/>
              <w:rPr>
                <w:sz w:val="20"/>
                <w:szCs w:val="20"/>
                <w:highlight w:val="yellow"/>
              </w:rPr>
            </w:pPr>
            <w:r w:rsidRPr="00AF7381">
              <w:rPr>
                <w:sz w:val="20"/>
                <w:szCs w:val="20"/>
                <w:highlight w:val="yellow"/>
              </w:rPr>
              <w:t>Developmental Disability</w:t>
            </w:r>
          </w:p>
        </w:tc>
        <w:tc>
          <w:tcPr>
            <w:tcW w:w="4878" w:type="dxa"/>
            <w:vMerge/>
          </w:tcPr>
          <w:p w14:paraId="2DFC88CC" w14:textId="77777777" w:rsidR="00AF7381" w:rsidRPr="00AF7381" w:rsidRDefault="00AF7381">
            <w:pPr>
              <w:pStyle w:val="ListParagraph"/>
              <w:numPr>
                <w:ilvl w:val="2"/>
                <w:numId w:val="159"/>
              </w:numPr>
              <w:ind w:left="436" w:hanging="180"/>
              <w:contextualSpacing w:val="0"/>
              <w:rPr>
                <w:sz w:val="20"/>
                <w:szCs w:val="20"/>
                <w:highlight w:val="yellow"/>
              </w:rPr>
            </w:pPr>
          </w:p>
        </w:tc>
      </w:tr>
      <w:tr w:rsidR="00AF7381" w:rsidRPr="00AF7381" w14:paraId="05486AEC" w14:textId="77777777" w:rsidTr="0053139E">
        <w:trPr>
          <w:jc w:val="center"/>
        </w:trPr>
        <w:tc>
          <w:tcPr>
            <w:tcW w:w="1276" w:type="dxa"/>
            <w:vMerge w:val="restart"/>
          </w:tcPr>
          <w:p w14:paraId="6A916A7F" w14:textId="77777777" w:rsidR="00AF7381" w:rsidRPr="00AF7381" w:rsidRDefault="00AF7381" w:rsidP="0053139E">
            <w:pPr>
              <w:rPr>
                <w:highlight w:val="yellow"/>
                <w:u w:val="single"/>
              </w:rPr>
            </w:pPr>
            <w:r w:rsidRPr="00AF7381">
              <w:rPr>
                <w:highlight w:val="yellow"/>
                <w:u w:val="single"/>
              </w:rPr>
              <w:t>Priority 5</w:t>
            </w:r>
          </w:p>
        </w:tc>
        <w:tc>
          <w:tcPr>
            <w:tcW w:w="3309" w:type="dxa"/>
            <w:vMerge w:val="restart"/>
          </w:tcPr>
          <w:p w14:paraId="67AF7129" w14:textId="77777777" w:rsidR="00AF7381" w:rsidRPr="00AF7381" w:rsidRDefault="00AF7381" w:rsidP="0053139E">
            <w:pPr>
              <w:rPr>
                <w:sz w:val="20"/>
                <w:szCs w:val="20"/>
                <w:highlight w:val="yellow"/>
              </w:rPr>
            </w:pPr>
            <w:r w:rsidRPr="00AF7381">
              <w:rPr>
                <w:sz w:val="20"/>
                <w:szCs w:val="20"/>
                <w:highlight w:val="yellow"/>
              </w:rPr>
              <w:t>Modified VI-SPDAT Score 8+</w:t>
            </w:r>
          </w:p>
        </w:tc>
        <w:tc>
          <w:tcPr>
            <w:tcW w:w="4878" w:type="dxa"/>
          </w:tcPr>
          <w:p w14:paraId="509528BB" w14:textId="77777777" w:rsidR="00AF7381" w:rsidRPr="00AF7381" w:rsidRDefault="00AF7381" w:rsidP="0053139E">
            <w:pPr>
              <w:rPr>
                <w:sz w:val="20"/>
                <w:szCs w:val="20"/>
                <w:highlight w:val="yellow"/>
              </w:rPr>
            </w:pPr>
            <w:r w:rsidRPr="00AF7381">
              <w:rPr>
                <w:sz w:val="20"/>
                <w:szCs w:val="20"/>
                <w:highlight w:val="yellow"/>
              </w:rPr>
              <w:t>Modified VI-SPDAT Score: 4-7</w:t>
            </w:r>
          </w:p>
        </w:tc>
      </w:tr>
      <w:tr w:rsidR="00AF7381" w:rsidRPr="00AF7381" w14:paraId="6536CB74" w14:textId="77777777" w:rsidTr="0053139E">
        <w:trPr>
          <w:jc w:val="center"/>
        </w:trPr>
        <w:tc>
          <w:tcPr>
            <w:tcW w:w="1276" w:type="dxa"/>
            <w:vMerge/>
          </w:tcPr>
          <w:p w14:paraId="463AA32B" w14:textId="77777777" w:rsidR="00AF7381" w:rsidRPr="00AF7381" w:rsidRDefault="00AF7381" w:rsidP="0053139E">
            <w:pPr>
              <w:rPr>
                <w:sz w:val="20"/>
                <w:szCs w:val="20"/>
                <w:highlight w:val="yellow"/>
                <w:u w:val="single"/>
              </w:rPr>
            </w:pPr>
          </w:p>
        </w:tc>
        <w:tc>
          <w:tcPr>
            <w:tcW w:w="3309" w:type="dxa"/>
            <w:vMerge/>
          </w:tcPr>
          <w:p w14:paraId="529294BE" w14:textId="77777777" w:rsidR="00AF7381" w:rsidRPr="00AF7381" w:rsidRDefault="00AF7381" w:rsidP="0053139E">
            <w:pPr>
              <w:rPr>
                <w:sz w:val="20"/>
                <w:szCs w:val="20"/>
                <w:highlight w:val="yellow"/>
              </w:rPr>
            </w:pPr>
          </w:p>
        </w:tc>
        <w:tc>
          <w:tcPr>
            <w:tcW w:w="4878" w:type="dxa"/>
          </w:tcPr>
          <w:p w14:paraId="5C611AFB" w14:textId="77777777" w:rsidR="00AF7381" w:rsidRPr="00AF7381" w:rsidRDefault="00AF7381" w:rsidP="0053139E">
            <w:pPr>
              <w:rPr>
                <w:sz w:val="20"/>
                <w:szCs w:val="20"/>
                <w:highlight w:val="yellow"/>
              </w:rPr>
            </w:pPr>
            <w:r w:rsidRPr="00AF7381">
              <w:rPr>
                <w:sz w:val="20"/>
                <w:szCs w:val="20"/>
                <w:highlight w:val="yellow"/>
              </w:rPr>
              <w:t>Households scoring 8+ on the Modified VI-SPDAT may be considered for RRH if:</w:t>
            </w:r>
          </w:p>
          <w:p w14:paraId="145506D9" w14:textId="77777777" w:rsidR="00AF7381" w:rsidRPr="00AF7381" w:rsidRDefault="00AF7381">
            <w:pPr>
              <w:pStyle w:val="ListParagraph"/>
              <w:numPr>
                <w:ilvl w:val="2"/>
                <w:numId w:val="159"/>
              </w:numPr>
              <w:ind w:left="346" w:hanging="180"/>
              <w:contextualSpacing w:val="0"/>
              <w:rPr>
                <w:sz w:val="20"/>
                <w:szCs w:val="20"/>
                <w:highlight w:val="yellow"/>
              </w:rPr>
            </w:pPr>
            <w:r w:rsidRPr="00AF7381">
              <w:rPr>
                <w:sz w:val="20"/>
                <w:szCs w:val="20"/>
                <w:highlight w:val="yellow"/>
              </w:rPr>
              <w:t>The household meets other RRH criteria;</w:t>
            </w:r>
          </w:p>
          <w:p w14:paraId="1CF46962" w14:textId="77777777" w:rsidR="00AF7381" w:rsidRPr="00AF7381" w:rsidRDefault="00AF7381">
            <w:pPr>
              <w:pStyle w:val="ListParagraph"/>
              <w:numPr>
                <w:ilvl w:val="2"/>
                <w:numId w:val="159"/>
              </w:numPr>
              <w:ind w:left="346" w:hanging="180"/>
              <w:contextualSpacing w:val="0"/>
              <w:rPr>
                <w:sz w:val="20"/>
                <w:szCs w:val="20"/>
                <w:highlight w:val="yellow"/>
              </w:rPr>
            </w:pPr>
            <w:r w:rsidRPr="00AF7381">
              <w:rPr>
                <w:sz w:val="20"/>
                <w:szCs w:val="20"/>
                <w:highlight w:val="yellow"/>
              </w:rPr>
              <w:t>The household is referred to case conferencing due to objective, community-wide criteria; and</w:t>
            </w:r>
          </w:p>
          <w:p w14:paraId="677B9111" w14:textId="77777777" w:rsidR="00AF7381" w:rsidRPr="00AF7381" w:rsidRDefault="00AF7381">
            <w:pPr>
              <w:pStyle w:val="ListParagraph"/>
              <w:numPr>
                <w:ilvl w:val="2"/>
                <w:numId w:val="159"/>
              </w:numPr>
              <w:ind w:left="346" w:hanging="180"/>
              <w:contextualSpacing w:val="0"/>
              <w:rPr>
                <w:sz w:val="20"/>
                <w:szCs w:val="20"/>
                <w:highlight w:val="yellow"/>
              </w:rPr>
            </w:pPr>
            <w:r w:rsidRPr="00AF7381">
              <w:rPr>
                <w:sz w:val="20"/>
                <w:szCs w:val="20"/>
                <w:highlight w:val="yellow"/>
              </w:rPr>
              <w:t>Through case conferencing, the community determines that there is a substantial likelihood that RRH will meet the household’s housing and service needs</w:t>
            </w:r>
          </w:p>
          <w:p w14:paraId="0A79296C" w14:textId="77777777" w:rsidR="00AF7381" w:rsidRPr="00AF7381" w:rsidRDefault="00AF7381" w:rsidP="0053139E">
            <w:pPr>
              <w:pStyle w:val="ListParagraph"/>
              <w:ind w:left="346"/>
              <w:contextualSpacing w:val="0"/>
              <w:rPr>
                <w:sz w:val="20"/>
                <w:szCs w:val="20"/>
                <w:highlight w:val="yellow"/>
              </w:rPr>
            </w:pPr>
          </w:p>
        </w:tc>
      </w:tr>
    </w:tbl>
    <w:p w14:paraId="02281C54" w14:textId="77777777" w:rsidR="00AF7381" w:rsidRPr="00AF7381" w:rsidRDefault="00AF7381" w:rsidP="00AF7381">
      <w:pPr>
        <w:rPr>
          <w:highlight w:val="yellow"/>
          <w:u w:val="single"/>
        </w:rPr>
      </w:pPr>
    </w:p>
    <w:p w14:paraId="57D3674E" w14:textId="77777777" w:rsidR="00AF7381" w:rsidRPr="00AF7381" w:rsidRDefault="00AF7381" w:rsidP="00AF7381">
      <w:pPr>
        <w:rPr>
          <w:highlight w:val="yellow"/>
          <w:u w:val="single"/>
        </w:rPr>
      </w:pPr>
      <w:r w:rsidRPr="00AF7381">
        <w:rPr>
          <w:highlight w:val="yellow"/>
          <w:u w:val="single"/>
        </w:rPr>
        <w:t>Using the Priority List to Fill All Vacancies</w:t>
      </w:r>
    </w:p>
    <w:p w14:paraId="642EFC4B" w14:textId="39D52A93" w:rsidR="00AF7381" w:rsidRPr="00AF7381" w:rsidRDefault="00AF7381" w:rsidP="00AF7381">
      <w:pPr>
        <w:jc w:val="both"/>
        <w:rPr>
          <w:highlight w:val="yellow"/>
        </w:rPr>
      </w:pPr>
      <w:r w:rsidRPr="00AF7381">
        <w:rPr>
          <w:highlight w:val="yellow"/>
        </w:rPr>
        <w:t xml:space="preserve">The coordinated entry prioritization process combines the household’s assessment results with the prioritization to determine that household’s level of vulnerability.  Applying the prioritization standards and managing the priority list often require a management approach that considers multiple factors, reconciles competing interests, and makes difficult choices about who should receive referrals first.  The CSCoC’s strategy for managing this complex and dynamic process is often “case conferencing” – a meeting of relevant service provider from multiple projects and agencies to discuss cases; resolve barriers to housing; and make decisions about priority, eligibility, enrollment, termination, and appeals.  As the priority list grows and households wait longer for referrals, the case conferencing </w:t>
      </w:r>
      <w:r w:rsidRPr="00AF7381">
        <w:rPr>
          <w:highlight w:val="yellow"/>
        </w:rPr>
        <w:lastRenderedPageBreak/>
        <w:t xml:space="preserve">approach is best equipped to adjust prioritization so that households are offered other, potentially less-intensive interventions rather than waiting for inordinate periods of time for more intensive interventions that might now exist or be available.  </w:t>
      </w:r>
    </w:p>
    <w:p w14:paraId="7991BBBC" w14:textId="77777777" w:rsidR="00AF7381" w:rsidRPr="00AF7381" w:rsidRDefault="00AF7381" w:rsidP="00AF7381">
      <w:pPr>
        <w:jc w:val="both"/>
        <w:rPr>
          <w:highlight w:val="yellow"/>
        </w:rPr>
      </w:pPr>
    </w:p>
    <w:p w14:paraId="66DC0A1D" w14:textId="77777777" w:rsidR="00AF7381" w:rsidRPr="0058586C" w:rsidRDefault="00AF7381" w:rsidP="00AF7381">
      <w:pPr>
        <w:pStyle w:val="Heading2"/>
        <w:rPr>
          <w:color w:val="0070C0"/>
          <w:highlight w:val="yellow"/>
        </w:rPr>
      </w:pPr>
      <w:bookmarkStart w:id="84" w:name="_Toc34043209"/>
      <w:bookmarkStart w:id="85" w:name="_Toc124255010"/>
      <w:r w:rsidRPr="0058586C">
        <w:rPr>
          <w:color w:val="0070C0"/>
          <w:highlight w:val="yellow"/>
        </w:rPr>
        <w:t>Document Ready</w:t>
      </w:r>
      <w:bookmarkEnd w:id="84"/>
      <w:bookmarkEnd w:id="85"/>
    </w:p>
    <w:p w14:paraId="227CED41" w14:textId="2860C61C" w:rsidR="00AF7381" w:rsidRDefault="00AF7381" w:rsidP="00AF7381">
      <w:pPr>
        <w:spacing w:after="120"/>
        <w:jc w:val="both"/>
        <w:rPr>
          <w:highlight w:val="yellow"/>
        </w:rPr>
      </w:pPr>
      <w:r w:rsidRPr="00AF7381">
        <w:rPr>
          <w:highlight w:val="yellow"/>
        </w:rPr>
        <w:t>Coordinated entry service provider shall assist in getting the top ten households on the priority list document ready for enrollment into a housing program.  Coordinated entry service provider maintains any such collected records until participant enrollment.</w:t>
      </w:r>
    </w:p>
    <w:p w14:paraId="239CEABA" w14:textId="3F398C4B" w:rsidR="00F90BC7" w:rsidRDefault="00F90BC7" w:rsidP="00AF7381">
      <w:pPr>
        <w:spacing w:after="120"/>
        <w:jc w:val="both"/>
        <w:rPr>
          <w:highlight w:val="yellow"/>
        </w:rPr>
      </w:pPr>
    </w:p>
    <w:p w14:paraId="1DC800E0" w14:textId="62F9D056" w:rsidR="00F90BC7" w:rsidRDefault="00F90BC7" w:rsidP="00AF7381">
      <w:pPr>
        <w:spacing w:after="120"/>
        <w:jc w:val="both"/>
        <w:rPr>
          <w:highlight w:val="yellow"/>
        </w:rPr>
      </w:pPr>
    </w:p>
    <w:p w14:paraId="24BA698E" w14:textId="039F3211" w:rsidR="00F90BC7" w:rsidRDefault="00F90BC7" w:rsidP="00AF7381">
      <w:pPr>
        <w:spacing w:after="120"/>
        <w:jc w:val="both"/>
        <w:rPr>
          <w:highlight w:val="yellow"/>
        </w:rPr>
      </w:pPr>
    </w:p>
    <w:p w14:paraId="0D506010" w14:textId="2DC6A9E9" w:rsidR="00F90BC7" w:rsidRDefault="00F90BC7" w:rsidP="00AF7381">
      <w:pPr>
        <w:spacing w:after="120"/>
        <w:jc w:val="both"/>
        <w:rPr>
          <w:highlight w:val="yellow"/>
        </w:rPr>
      </w:pPr>
    </w:p>
    <w:p w14:paraId="397111CF" w14:textId="4CCCEAF3" w:rsidR="00F90BC7" w:rsidRDefault="00F90BC7" w:rsidP="00AF7381">
      <w:pPr>
        <w:spacing w:after="120"/>
        <w:jc w:val="both"/>
        <w:rPr>
          <w:highlight w:val="yellow"/>
        </w:rPr>
      </w:pPr>
    </w:p>
    <w:p w14:paraId="6C5E3854" w14:textId="6EB224B1" w:rsidR="00F90BC7" w:rsidRDefault="00F90BC7" w:rsidP="00AF7381">
      <w:pPr>
        <w:spacing w:after="120"/>
        <w:jc w:val="both"/>
        <w:rPr>
          <w:highlight w:val="yellow"/>
        </w:rPr>
      </w:pPr>
    </w:p>
    <w:p w14:paraId="433686F2" w14:textId="330516FB" w:rsidR="00F90BC7" w:rsidRDefault="00F90BC7" w:rsidP="00AF7381">
      <w:pPr>
        <w:spacing w:after="120"/>
        <w:jc w:val="both"/>
        <w:rPr>
          <w:highlight w:val="yellow"/>
        </w:rPr>
      </w:pPr>
    </w:p>
    <w:p w14:paraId="654F661C" w14:textId="0FC6DC5F" w:rsidR="00F90BC7" w:rsidRDefault="00F90BC7" w:rsidP="00AF7381">
      <w:pPr>
        <w:spacing w:after="120"/>
        <w:jc w:val="both"/>
        <w:rPr>
          <w:highlight w:val="yellow"/>
        </w:rPr>
      </w:pPr>
    </w:p>
    <w:p w14:paraId="5B00D82A" w14:textId="4E623533" w:rsidR="00F90BC7" w:rsidRDefault="00F90BC7" w:rsidP="00AF7381">
      <w:pPr>
        <w:spacing w:after="120"/>
        <w:jc w:val="both"/>
        <w:rPr>
          <w:highlight w:val="yellow"/>
        </w:rPr>
      </w:pPr>
    </w:p>
    <w:p w14:paraId="289FCB6E" w14:textId="2445D915" w:rsidR="00F90BC7" w:rsidRDefault="00F90BC7" w:rsidP="00AF7381">
      <w:pPr>
        <w:spacing w:after="120"/>
        <w:jc w:val="both"/>
        <w:rPr>
          <w:highlight w:val="yellow"/>
        </w:rPr>
      </w:pPr>
    </w:p>
    <w:p w14:paraId="26A5CEDA" w14:textId="6CF4A2BC" w:rsidR="00F90BC7" w:rsidRDefault="00F90BC7" w:rsidP="00AF7381">
      <w:pPr>
        <w:spacing w:after="120"/>
        <w:jc w:val="both"/>
        <w:rPr>
          <w:highlight w:val="yellow"/>
        </w:rPr>
      </w:pPr>
    </w:p>
    <w:p w14:paraId="0013F3FF" w14:textId="288407AD" w:rsidR="00F90BC7" w:rsidRDefault="00F90BC7" w:rsidP="00AF7381">
      <w:pPr>
        <w:spacing w:after="120"/>
        <w:jc w:val="both"/>
        <w:rPr>
          <w:highlight w:val="yellow"/>
        </w:rPr>
      </w:pPr>
    </w:p>
    <w:p w14:paraId="6C273177" w14:textId="34A49CD9" w:rsidR="00F90BC7" w:rsidRDefault="00F90BC7" w:rsidP="00AF7381">
      <w:pPr>
        <w:spacing w:after="120"/>
        <w:jc w:val="both"/>
        <w:rPr>
          <w:highlight w:val="yellow"/>
        </w:rPr>
      </w:pPr>
    </w:p>
    <w:p w14:paraId="2A220EDE" w14:textId="55A35C63" w:rsidR="00F90BC7" w:rsidRDefault="00F90BC7" w:rsidP="00AF7381">
      <w:pPr>
        <w:spacing w:after="120"/>
        <w:jc w:val="both"/>
        <w:rPr>
          <w:highlight w:val="yellow"/>
        </w:rPr>
      </w:pPr>
    </w:p>
    <w:p w14:paraId="771C35BA" w14:textId="27611CC8" w:rsidR="00F90BC7" w:rsidRDefault="00F90BC7" w:rsidP="00AF7381">
      <w:pPr>
        <w:spacing w:after="120"/>
        <w:jc w:val="both"/>
        <w:rPr>
          <w:highlight w:val="yellow"/>
        </w:rPr>
      </w:pPr>
    </w:p>
    <w:p w14:paraId="5399F9B3" w14:textId="2A9B5F1B" w:rsidR="00F90BC7" w:rsidRDefault="00F90BC7" w:rsidP="00AF7381">
      <w:pPr>
        <w:spacing w:after="120"/>
        <w:jc w:val="both"/>
        <w:rPr>
          <w:highlight w:val="yellow"/>
        </w:rPr>
      </w:pPr>
    </w:p>
    <w:p w14:paraId="259C55C5" w14:textId="0DB003D3" w:rsidR="00F90BC7" w:rsidRDefault="00F90BC7" w:rsidP="00AF7381">
      <w:pPr>
        <w:spacing w:after="120"/>
        <w:jc w:val="both"/>
        <w:rPr>
          <w:highlight w:val="yellow"/>
        </w:rPr>
      </w:pPr>
    </w:p>
    <w:p w14:paraId="348F671B" w14:textId="40429BEC" w:rsidR="00F90BC7" w:rsidRDefault="00F90BC7" w:rsidP="00AF7381">
      <w:pPr>
        <w:spacing w:after="120"/>
        <w:jc w:val="both"/>
        <w:rPr>
          <w:highlight w:val="yellow"/>
        </w:rPr>
      </w:pPr>
    </w:p>
    <w:p w14:paraId="5664727E" w14:textId="6A8BBE21" w:rsidR="00F90BC7" w:rsidRDefault="00F90BC7" w:rsidP="00AF7381">
      <w:pPr>
        <w:spacing w:after="120"/>
        <w:jc w:val="both"/>
        <w:rPr>
          <w:highlight w:val="yellow"/>
        </w:rPr>
      </w:pPr>
    </w:p>
    <w:p w14:paraId="0E09DAD2" w14:textId="77777777" w:rsidR="00F90BC7" w:rsidRPr="00AF7381" w:rsidRDefault="00F90BC7" w:rsidP="00AF7381">
      <w:pPr>
        <w:spacing w:after="120"/>
        <w:jc w:val="both"/>
        <w:rPr>
          <w:highlight w:val="yellow"/>
        </w:rPr>
      </w:pPr>
    </w:p>
    <w:p w14:paraId="1F0B7E32" w14:textId="77777777" w:rsidR="00AF7381" w:rsidRPr="0058586C" w:rsidRDefault="00AF7381" w:rsidP="00AF7381">
      <w:pPr>
        <w:pStyle w:val="Heading1"/>
        <w:rPr>
          <w:b/>
          <w:bCs/>
          <w:color w:val="0070C0"/>
          <w:highlight w:val="yellow"/>
        </w:rPr>
      </w:pPr>
      <w:bookmarkStart w:id="86" w:name="_Toc124255011"/>
      <w:r w:rsidRPr="0058586C">
        <w:rPr>
          <w:b/>
          <w:bCs/>
          <w:color w:val="0070C0"/>
          <w:highlight w:val="yellow"/>
        </w:rPr>
        <w:lastRenderedPageBreak/>
        <w:t>Matching and Referral</w:t>
      </w:r>
      <w:bookmarkEnd w:id="86"/>
    </w:p>
    <w:p w14:paraId="3ABF8A65" w14:textId="77777777" w:rsidR="00AF7381" w:rsidRPr="0058586C" w:rsidRDefault="00AF7381" w:rsidP="00AF7381">
      <w:pPr>
        <w:pStyle w:val="Heading2"/>
        <w:rPr>
          <w:color w:val="0070C0"/>
          <w:highlight w:val="yellow"/>
        </w:rPr>
      </w:pPr>
      <w:bookmarkStart w:id="87" w:name="_Toc34043211"/>
      <w:bookmarkStart w:id="88" w:name="_Toc124255012"/>
      <w:r w:rsidRPr="0058586C">
        <w:rPr>
          <w:color w:val="0070C0"/>
          <w:highlight w:val="yellow"/>
        </w:rPr>
        <w:t>General Information</w:t>
      </w:r>
      <w:bookmarkEnd w:id="87"/>
      <w:bookmarkEnd w:id="88"/>
    </w:p>
    <w:p w14:paraId="612D2067" w14:textId="6A49BAB6" w:rsidR="00AF7381" w:rsidRPr="00AF7381" w:rsidRDefault="00AF7381" w:rsidP="00AF7381">
      <w:pPr>
        <w:jc w:val="both"/>
        <w:rPr>
          <w:highlight w:val="yellow"/>
        </w:rPr>
      </w:pPr>
      <w:r w:rsidRPr="00AF7381">
        <w:rPr>
          <w:highlight w:val="yellow"/>
        </w:rPr>
        <w:t xml:space="preserve">Once a household experiencing a housing crisis has been assessed, the coordinated entry process moves on to determining their priority for housing and supportive services.  In referral, the households with the highest priority is offered housing and supportive services projects first.  As required by the Coordinated Entry Notice, that referral process is guided by an intentional protocol that follows the CSCoC’s prioritization standards as documented in these </w:t>
      </w:r>
      <w:r w:rsidR="00CF123B">
        <w:rPr>
          <w:highlight w:val="yellow"/>
        </w:rPr>
        <w:t>Written Standards</w:t>
      </w:r>
      <w:r w:rsidRPr="00AF7381">
        <w:rPr>
          <w:highlight w:val="yellow"/>
        </w:rPr>
        <w:t xml:space="preserve">.  </w:t>
      </w:r>
    </w:p>
    <w:p w14:paraId="1B40F5D9" w14:textId="77777777" w:rsidR="00AF7381" w:rsidRPr="00AF7381" w:rsidRDefault="00AF7381" w:rsidP="00AF7381">
      <w:pPr>
        <w:jc w:val="both"/>
        <w:rPr>
          <w:highlight w:val="yellow"/>
        </w:rPr>
      </w:pPr>
    </w:p>
    <w:p w14:paraId="262444EC" w14:textId="77777777" w:rsidR="00AF7381" w:rsidRPr="00AF7381" w:rsidRDefault="00AF7381" w:rsidP="00AF7381">
      <w:pPr>
        <w:jc w:val="both"/>
        <w:rPr>
          <w:highlight w:val="yellow"/>
        </w:rPr>
      </w:pPr>
      <w:r w:rsidRPr="00AF7381">
        <w:rPr>
          <w:highlight w:val="yellow"/>
        </w:rPr>
        <w:t>Referral can occur at various points in the coordinated entry process.  Depending on the type of project, referrals can occur at initial triage, after initial assessment, while enrolled in emergency shelter, or even after enrollment in a project.  Referral can occur throughout the household’s involvement with the homeless system.  How and when referrals occur depend on many factors, such as the household’s needs and preferences, local priorities, and available resources.</w:t>
      </w:r>
    </w:p>
    <w:p w14:paraId="5874E953" w14:textId="77777777" w:rsidR="00AF7381" w:rsidRPr="00AF7381" w:rsidRDefault="00AF7381" w:rsidP="00AF7381">
      <w:pPr>
        <w:jc w:val="both"/>
        <w:rPr>
          <w:highlight w:val="yellow"/>
        </w:rPr>
      </w:pPr>
    </w:p>
    <w:p w14:paraId="1827FBF5" w14:textId="77777777" w:rsidR="00AF7381" w:rsidRPr="00AF7381" w:rsidRDefault="00AF7381" w:rsidP="00AF7381">
      <w:pPr>
        <w:jc w:val="both"/>
        <w:rPr>
          <w:highlight w:val="yellow"/>
        </w:rPr>
      </w:pPr>
      <w:r w:rsidRPr="00AF7381">
        <w:rPr>
          <w:highlight w:val="yellow"/>
        </w:rPr>
        <w:t>Based on the household’s priority level, referrals to available housing and supportive services projects are suggested, with the prospective participant making the final decision of which intervention to enroll in.  For enrollment to be final, however, the project must establish that the referred household meets its entry requirements; if not, the household retains their priority placement on the priority list while other housing and service options are explored.</w:t>
      </w:r>
    </w:p>
    <w:p w14:paraId="50F9A192" w14:textId="77777777" w:rsidR="00AF7381" w:rsidRPr="00AF7381" w:rsidRDefault="00AF7381" w:rsidP="00AF7381">
      <w:pPr>
        <w:jc w:val="both"/>
        <w:rPr>
          <w:highlight w:val="yellow"/>
        </w:rPr>
      </w:pPr>
    </w:p>
    <w:p w14:paraId="13B84764" w14:textId="77777777" w:rsidR="00AF7381" w:rsidRPr="00AF7381" w:rsidRDefault="00AF7381" w:rsidP="00AF7381">
      <w:pPr>
        <w:jc w:val="both"/>
        <w:rPr>
          <w:highlight w:val="yellow"/>
        </w:rPr>
      </w:pPr>
      <w:r w:rsidRPr="00AF7381">
        <w:rPr>
          <w:highlight w:val="yellow"/>
        </w:rPr>
        <w:t>All CSCoC and ESG-program recipients use the coordinated entry process as the only referral source from which to consider filling vacancies in CSCoC or ESG funded housing and/or services.  Coordinated entry service provider maintain, and annually update, a list of all resources that may be accessed through referrals from the coordinated entry process.</w:t>
      </w:r>
    </w:p>
    <w:p w14:paraId="1F9789A4" w14:textId="77777777" w:rsidR="00AF7381" w:rsidRPr="00AF7381" w:rsidRDefault="00AF7381" w:rsidP="00AF7381">
      <w:pPr>
        <w:jc w:val="both"/>
        <w:rPr>
          <w:highlight w:val="yellow"/>
        </w:rPr>
      </w:pPr>
    </w:p>
    <w:p w14:paraId="138828E7" w14:textId="77777777" w:rsidR="00AF7381" w:rsidRPr="0058586C" w:rsidRDefault="00AF7381" w:rsidP="00AF7381">
      <w:pPr>
        <w:pStyle w:val="Heading2"/>
        <w:rPr>
          <w:color w:val="0070C0"/>
          <w:highlight w:val="yellow"/>
        </w:rPr>
      </w:pPr>
      <w:bookmarkStart w:id="89" w:name="_Toc34043212"/>
      <w:bookmarkStart w:id="90" w:name="_Toc124255013"/>
      <w:r w:rsidRPr="0058586C">
        <w:rPr>
          <w:color w:val="0070C0"/>
          <w:highlight w:val="yellow"/>
        </w:rPr>
        <w:t>Determining Program Eligibility</w:t>
      </w:r>
      <w:bookmarkEnd w:id="89"/>
      <w:bookmarkEnd w:id="90"/>
    </w:p>
    <w:p w14:paraId="6995F4F7" w14:textId="77777777" w:rsidR="00AF7381" w:rsidRPr="00AF7381" w:rsidRDefault="00AF7381" w:rsidP="00AF7381">
      <w:pPr>
        <w:jc w:val="both"/>
        <w:rPr>
          <w:highlight w:val="yellow"/>
        </w:rPr>
      </w:pPr>
      <w:r w:rsidRPr="00AF7381">
        <w:rPr>
          <w:highlight w:val="yellow"/>
        </w:rPr>
        <w:t>The CSCoC’s referral process should take into account how a household’s enrollment in certain projects might affect that household’s eligibility status for future assistance.  For example, enrollment into a transitional housing project generally results in the loss of “chronically homeless” status, which can limit a household’s future eligibility for PSH that is dedicated to households experiencing chronic homelessness.  Therefore, the coordinated entry process will identify potential eligibility considerations of each referral project and assist the potential participant in making an informed and careful decision about where to enroll.</w:t>
      </w:r>
    </w:p>
    <w:p w14:paraId="38E399C6" w14:textId="77777777" w:rsidR="00AF7381" w:rsidRPr="00AF7381" w:rsidRDefault="00AF7381" w:rsidP="00AF7381">
      <w:pPr>
        <w:jc w:val="both"/>
        <w:rPr>
          <w:highlight w:val="yellow"/>
        </w:rPr>
      </w:pPr>
    </w:p>
    <w:p w14:paraId="0E8F05F1" w14:textId="77777777" w:rsidR="00AF7381" w:rsidRPr="00AF7381" w:rsidRDefault="00AF7381" w:rsidP="00AF7381">
      <w:pPr>
        <w:jc w:val="both"/>
        <w:rPr>
          <w:highlight w:val="yellow"/>
        </w:rPr>
      </w:pPr>
      <w:r w:rsidRPr="00AF7381">
        <w:rPr>
          <w:highlight w:val="yellow"/>
        </w:rPr>
        <w:t>Each CSCoC-funded project must establish specific eligibility criteria that the project will use to make enrollment determinations, and these criteria shall be made available to the public.</w:t>
      </w:r>
    </w:p>
    <w:p w14:paraId="1FE3AD31" w14:textId="77777777" w:rsidR="00AF7381" w:rsidRPr="00AF7381" w:rsidRDefault="00AF7381" w:rsidP="00AF7381">
      <w:pPr>
        <w:jc w:val="both"/>
        <w:rPr>
          <w:highlight w:val="yellow"/>
        </w:rPr>
      </w:pPr>
    </w:p>
    <w:p w14:paraId="7C7804F1" w14:textId="77777777" w:rsidR="00AF7381" w:rsidRPr="00AF7381" w:rsidRDefault="00AF7381" w:rsidP="00AF7381">
      <w:pPr>
        <w:jc w:val="both"/>
        <w:rPr>
          <w:highlight w:val="yellow"/>
        </w:rPr>
      </w:pPr>
      <w:r w:rsidRPr="00AF7381">
        <w:rPr>
          <w:highlight w:val="yellow"/>
        </w:rPr>
        <w:t xml:space="preserve">Coordinated entry service providers may not use the coordinated entry process to screen households out due to perceived barriers related to housing or services, including, but not limited to, too little or no income, active or past substance abuse, domestic violence history, resistance to receiving services, the type or extent of a disability, the services or supports that are needed because of a disability, a history </w:t>
      </w:r>
      <w:r w:rsidRPr="00AF7381">
        <w:rPr>
          <w:highlight w:val="yellow"/>
        </w:rPr>
        <w:lastRenderedPageBreak/>
        <w:t>of evictions or of poor credit, a history of lease violations, an history of not being a leaseholder, a criminal record, as well as sexual orientation or gender identity and expression.  Exceptions are state or local restrictions that prohibit projects from serving households with certain criminal convictions or other specified attributes.</w:t>
      </w:r>
    </w:p>
    <w:p w14:paraId="23629115" w14:textId="77777777" w:rsidR="00AF7381" w:rsidRPr="00AF7381" w:rsidRDefault="00AF7381" w:rsidP="00AF7381">
      <w:pPr>
        <w:jc w:val="both"/>
        <w:rPr>
          <w:highlight w:val="yellow"/>
        </w:rPr>
      </w:pPr>
    </w:p>
    <w:p w14:paraId="17648C1A" w14:textId="77777777" w:rsidR="00AF7381" w:rsidRPr="0058586C" w:rsidRDefault="00AF7381" w:rsidP="00AF7381">
      <w:pPr>
        <w:pStyle w:val="Heading2"/>
        <w:rPr>
          <w:color w:val="0070C0"/>
          <w:highlight w:val="yellow"/>
        </w:rPr>
      </w:pPr>
      <w:bookmarkStart w:id="91" w:name="_Toc34043213"/>
      <w:bookmarkStart w:id="92" w:name="_Toc124255014"/>
      <w:r w:rsidRPr="0058586C">
        <w:rPr>
          <w:color w:val="0070C0"/>
          <w:highlight w:val="yellow"/>
        </w:rPr>
        <w:t>Case Conferencing</w:t>
      </w:r>
      <w:bookmarkEnd w:id="91"/>
      <w:bookmarkEnd w:id="92"/>
    </w:p>
    <w:p w14:paraId="075F8123" w14:textId="77777777" w:rsidR="00AF7381" w:rsidRPr="00AF7381" w:rsidRDefault="00AF7381" w:rsidP="00AF7381">
      <w:pPr>
        <w:jc w:val="both"/>
        <w:rPr>
          <w:highlight w:val="yellow"/>
        </w:rPr>
      </w:pPr>
      <w:r w:rsidRPr="00AF7381">
        <w:rPr>
          <w:highlight w:val="yellow"/>
        </w:rPr>
        <w:t xml:space="preserve">The HDC has a standing weekly meeting via conference call regarding referral and placement.  All current active households seeking housing are discussed, approved, and shared over these calls (names are withheld for privacy, but situations, scores, and barriers to housing are shared and discussed).  The HDC then reviews the priority list and determine the next prioritized and potentially eligible household to be referred to any vacancy.  Agencies and programs with housing vacancies should notify the HDC by forwarding the CES vacancy information to the appropriate HUB station.  </w:t>
      </w:r>
    </w:p>
    <w:p w14:paraId="75E9DE53" w14:textId="77777777" w:rsidR="00AF7381" w:rsidRPr="00AF7381" w:rsidRDefault="00AF7381" w:rsidP="00AF7381">
      <w:pPr>
        <w:jc w:val="both"/>
        <w:rPr>
          <w:highlight w:val="yellow"/>
        </w:rPr>
      </w:pPr>
    </w:p>
    <w:p w14:paraId="2803025A" w14:textId="77777777" w:rsidR="00AF7381" w:rsidRPr="00AF7381" w:rsidRDefault="00AF7381" w:rsidP="00AF7381">
      <w:pPr>
        <w:jc w:val="both"/>
        <w:rPr>
          <w:highlight w:val="yellow"/>
        </w:rPr>
      </w:pPr>
      <w:r w:rsidRPr="00AF7381">
        <w:rPr>
          <w:highlight w:val="yellow"/>
        </w:rPr>
        <w:t>HDC also reviews any instances where a referral to available housing is made but does not occur.  There are no consequences to households who choose not to accept a referral.  If a referral is in process and households are searching for housing placement, a note is made in CES stating “Pending”.</w:t>
      </w:r>
    </w:p>
    <w:p w14:paraId="167DF543" w14:textId="77777777" w:rsidR="00AF7381" w:rsidRPr="00AF7381" w:rsidRDefault="00AF7381" w:rsidP="00AF7381">
      <w:pPr>
        <w:jc w:val="both"/>
        <w:rPr>
          <w:b/>
          <w:bCs/>
          <w:highlight w:val="yellow"/>
        </w:rPr>
      </w:pPr>
    </w:p>
    <w:p w14:paraId="7936D883" w14:textId="77777777" w:rsidR="00AF7381" w:rsidRPr="00AF7381" w:rsidRDefault="00AF7381" w:rsidP="00AF7381">
      <w:pPr>
        <w:jc w:val="both"/>
        <w:rPr>
          <w:highlight w:val="yellow"/>
        </w:rPr>
      </w:pPr>
      <w:r w:rsidRPr="00AF7381">
        <w:rPr>
          <w:highlight w:val="yellow"/>
        </w:rPr>
        <w:t xml:space="preserve">Service providers for households may attend the weekly phone conferences to provide additional information to the HDC, but do not have a vote in the final decisions for housing interventions and placements.  Households may provide updates on their housing status or changes in circumstances to their service provider, but do not need to check in about their status on the prioritization list or housing availability – each household will be notified when an appropriate placement becomes available. </w:t>
      </w:r>
    </w:p>
    <w:p w14:paraId="481D1D3D" w14:textId="77777777" w:rsidR="00AF7381" w:rsidRPr="00AF7381" w:rsidRDefault="00AF7381" w:rsidP="00AF7381">
      <w:pPr>
        <w:jc w:val="both"/>
        <w:rPr>
          <w:b/>
          <w:bCs/>
          <w:highlight w:val="yellow"/>
        </w:rPr>
      </w:pPr>
      <w:r w:rsidRPr="00AF7381">
        <w:rPr>
          <w:highlight w:val="yellow"/>
        </w:rPr>
        <w:t xml:space="preserve"> </w:t>
      </w:r>
    </w:p>
    <w:p w14:paraId="1FF78C8C" w14:textId="77777777" w:rsidR="00AF7381" w:rsidRPr="00AF7381" w:rsidRDefault="00AF7381" w:rsidP="00AF7381">
      <w:pPr>
        <w:jc w:val="both"/>
        <w:rPr>
          <w:highlight w:val="yellow"/>
        </w:rPr>
      </w:pPr>
      <w:r w:rsidRPr="00AF7381">
        <w:rPr>
          <w:highlight w:val="yellow"/>
        </w:rPr>
        <w:t>CES service provider shall convene a monthly case conferencing meeting with coordinated entry service providers to discuss potential matching options for participants at the top of the CSCoC’s priority list.  Case conferences shall be held even when there are no housing vacancies.</w:t>
      </w:r>
    </w:p>
    <w:p w14:paraId="76D79319" w14:textId="77777777" w:rsidR="00AF7381" w:rsidRPr="00AF7381" w:rsidRDefault="00AF7381" w:rsidP="00AF7381">
      <w:pPr>
        <w:jc w:val="both"/>
        <w:rPr>
          <w:highlight w:val="yellow"/>
        </w:rPr>
      </w:pPr>
    </w:p>
    <w:p w14:paraId="473327C8" w14:textId="77777777" w:rsidR="00AF7381" w:rsidRPr="00AF7381" w:rsidRDefault="00AF7381" w:rsidP="00AF7381">
      <w:pPr>
        <w:jc w:val="both"/>
        <w:rPr>
          <w:highlight w:val="yellow"/>
        </w:rPr>
      </w:pPr>
      <w:r w:rsidRPr="00AF7381">
        <w:rPr>
          <w:highlight w:val="yellow"/>
        </w:rPr>
        <w:t>CES service provider shall strive to include at each case conference the participation of at least one representative from each CSCoC and ESG-funded housing project, as well as representative involved in street outreach, the veterans’ Grant Per Diem program, emergency shelters, and hospitals.  A Memorandum of Agreement (MOA) between agencies shall be continuously disseminated so that only agencies that participate in case conferencing are able to recommend and accept referrals through the CES.</w:t>
      </w:r>
    </w:p>
    <w:p w14:paraId="108A0DAF" w14:textId="77777777" w:rsidR="00AF7381" w:rsidRPr="00AF7381" w:rsidRDefault="00AF7381" w:rsidP="00AF7381">
      <w:pPr>
        <w:jc w:val="both"/>
        <w:rPr>
          <w:b/>
          <w:bCs/>
          <w:highlight w:val="yellow"/>
        </w:rPr>
      </w:pPr>
    </w:p>
    <w:p w14:paraId="1B3BA6E0" w14:textId="77777777" w:rsidR="00AF7381" w:rsidRPr="00AF7381" w:rsidRDefault="00AF7381" w:rsidP="00AF7381">
      <w:pPr>
        <w:jc w:val="both"/>
        <w:rPr>
          <w:highlight w:val="yellow"/>
        </w:rPr>
      </w:pPr>
      <w:r w:rsidRPr="00AF7381">
        <w:rPr>
          <w:highlight w:val="yellow"/>
        </w:rPr>
        <w:t>For such case conferencing meetings, the priority list shall be used for referencing households.  No other household data shall be transmitted for these meetings.</w:t>
      </w:r>
    </w:p>
    <w:p w14:paraId="5A7DB0F8" w14:textId="77777777" w:rsidR="00AF7381" w:rsidRPr="00AF7381" w:rsidRDefault="00AF7381" w:rsidP="00AF7381">
      <w:pPr>
        <w:jc w:val="both"/>
        <w:rPr>
          <w:b/>
          <w:bCs/>
          <w:highlight w:val="yellow"/>
        </w:rPr>
      </w:pPr>
    </w:p>
    <w:p w14:paraId="22FB12E1" w14:textId="77777777" w:rsidR="00AF7381" w:rsidRPr="00AF7381" w:rsidRDefault="00AF7381" w:rsidP="00AF7381">
      <w:pPr>
        <w:jc w:val="both"/>
        <w:rPr>
          <w:highlight w:val="yellow"/>
        </w:rPr>
      </w:pPr>
      <w:r w:rsidRPr="00AF7381">
        <w:rPr>
          <w:highlight w:val="yellow"/>
        </w:rPr>
        <w:t>Participation in case conferences may be done in person, over the phone, or other participatory technology, or some combination thereof.</w:t>
      </w:r>
    </w:p>
    <w:p w14:paraId="15101416" w14:textId="77777777" w:rsidR="00AF7381" w:rsidRPr="00AF7381" w:rsidRDefault="00AF7381" w:rsidP="00AF7381">
      <w:pPr>
        <w:jc w:val="both"/>
        <w:rPr>
          <w:b/>
          <w:bCs/>
          <w:highlight w:val="yellow"/>
        </w:rPr>
      </w:pPr>
    </w:p>
    <w:p w14:paraId="24DF5B5F" w14:textId="77777777" w:rsidR="00AF7381" w:rsidRPr="00AF7381" w:rsidRDefault="00AF7381" w:rsidP="00AF7381">
      <w:pPr>
        <w:jc w:val="both"/>
        <w:rPr>
          <w:highlight w:val="yellow"/>
        </w:rPr>
      </w:pPr>
      <w:r w:rsidRPr="00AF7381">
        <w:rPr>
          <w:highlight w:val="yellow"/>
        </w:rPr>
        <w:t>CES service provider shall create and maintain minutes for each case conference for a period of five years.</w:t>
      </w:r>
    </w:p>
    <w:p w14:paraId="27C11B03" w14:textId="77777777" w:rsidR="00AF7381" w:rsidRPr="00AF7381" w:rsidRDefault="00AF7381" w:rsidP="00AF7381">
      <w:pPr>
        <w:jc w:val="both"/>
        <w:rPr>
          <w:b/>
          <w:bCs/>
          <w:highlight w:val="yellow"/>
        </w:rPr>
      </w:pPr>
    </w:p>
    <w:p w14:paraId="36361137" w14:textId="77777777" w:rsidR="00AF7381" w:rsidRPr="0058586C" w:rsidRDefault="00AF7381" w:rsidP="00AF7381">
      <w:pPr>
        <w:pStyle w:val="Heading2"/>
        <w:rPr>
          <w:color w:val="0070C0"/>
          <w:highlight w:val="yellow"/>
        </w:rPr>
      </w:pPr>
      <w:bookmarkStart w:id="93" w:name="_Toc34043214"/>
      <w:bookmarkStart w:id="94" w:name="_Toc124255015"/>
      <w:r w:rsidRPr="0058586C">
        <w:rPr>
          <w:color w:val="0070C0"/>
          <w:highlight w:val="yellow"/>
        </w:rPr>
        <w:t>When Appropriate Beds are Not Available</w:t>
      </w:r>
      <w:bookmarkEnd w:id="93"/>
      <w:bookmarkEnd w:id="94"/>
    </w:p>
    <w:p w14:paraId="533F3DA0" w14:textId="77777777" w:rsidR="00AF7381" w:rsidRPr="00AF7381" w:rsidRDefault="00AF7381" w:rsidP="00AF7381">
      <w:pPr>
        <w:jc w:val="both"/>
        <w:rPr>
          <w:highlight w:val="yellow"/>
        </w:rPr>
      </w:pPr>
      <w:r w:rsidRPr="00AF7381">
        <w:rPr>
          <w:highlight w:val="yellow"/>
        </w:rPr>
        <w:t xml:space="preserve">When a household is recommended for Permanent Supportive </w:t>
      </w:r>
      <w:proofErr w:type="gramStart"/>
      <w:r w:rsidRPr="00AF7381">
        <w:rPr>
          <w:highlight w:val="yellow"/>
        </w:rPr>
        <w:t>Housing</w:t>
      </w:r>
      <w:proofErr w:type="gramEnd"/>
      <w:r w:rsidRPr="00AF7381">
        <w:rPr>
          <w:highlight w:val="yellow"/>
        </w:rPr>
        <w:t xml:space="preserve"> but no PSH beds are currently available, the household may be referred to “bridge housing” in other program types, and/or for any other available CSCoC resource that would be of use to the household.  In referring households to bridge housing, case conference participants shall attempt to balance the need to provide immediate care for the community’s most vulnerable households against the need to match tenants with safe, adequately supported housing situations that will promote the community’s long-term ability to increase its supply of available and affordable housing.</w:t>
      </w:r>
    </w:p>
    <w:p w14:paraId="3C2C0A60" w14:textId="77777777" w:rsidR="00AF7381" w:rsidRPr="00AF7381" w:rsidRDefault="00AF7381" w:rsidP="00AF7381">
      <w:pPr>
        <w:jc w:val="both"/>
        <w:rPr>
          <w:highlight w:val="yellow"/>
        </w:rPr>
      </w:pPr>
    </w:p>
    <w:p w14:paraId="0096EA42" w14:textId="77777777" w:rsidR="00AF7381" w:rsidRPr="00AF7381" w:rsidRDefault="00AF7381" w:rsidP="00AF7381">
      <w:pPr>
        <w:jc w:val="both"/>
        <w:rPr>
          <w:highlight w:val="yellow"/>
        </w:rPr>
      </w:pPr>
      <w:r w:rsidRPr="00AF7381">
        <w:rPr>
          <w:highlight w:val="yellow"/>
        </w:rPr>
        <w:t>There may be instances where a household is referred to an agency or program for housing placement, but the agency or program must deny placement.  Agencies or programs receiving housing placement referrals may only decline households found eligible for, and referred, under limited circumstances, including:</w:t>
      </w:r>
    </w:p>
    <w:p w14:paraId="38A5903D" w14:textId="77777777" w:rsidR="00AF7381" w:rsidRPr="00AF7381" w:rsidRDefault="00AF7381">
      <w:pPr>
        <w:pStyle w:val="ListParagraph"/>
        <w:numPr>
          <w:ilvl w:val="0"/>
          <w:numId w:val="170"/>
        </w:numPr>
        <w:spacing w:after="120"/>
        <w:contextualSpacing w:val="0"/>
        <w:jc w:val="both"/>
        <w:rPr>
          <w:b/>
          <w:bCs/>
          <w:highlight w:val="yellow"/>
        </w:rPr>
      </w:pPr>
      <w:r w:rsidRPr="00AF7381">
        <w:rPr>
          <w:highlight w:val="yellow"/>
        </w:rPr>
        <w:t>No unit is available.</w:t>
      </w:r>
    </w:p>
    <w:p w14:paraId="429B38B9" w14:textId="77777777" w:rsidR="00AF7381" w:rsidRPr="00AF7381" w:rsidRDefault="00AF7381">
      <w:pPr>
        <w:pStyle w:val="ListParagraph"/>
        <w:numPr>
          <w:ilvl w:val="0"/>
          <w:numId w:val="170"/>
        </w:numPr>
        <w:spacing w:after="120"/>
        <w:contextualSpacing w:val="0"/>
        <w:jc w:val="both"/>
        <w:rPr>
          <w:b/>
          <w:bCs/>
          <w:highlight w:val="yellow"/>
        </w:rPr>
      </w:pPr>
      <w:r w:rsidRPr="00AF7381">
        <w:rPr>
          <w:highlight w:val="yellow"/>
        </w:rPr>
        <w:t>The household missed an intake appointment twice in a row.</w:t>
      </w:r>
    </w:p>
    <w:p w14:paraId="57DBD7DD" w14:textId="77777777" w:rsidR="00AF7381" w:rsidRPr="00AF7381" w:rsidRDefault="00AF7381">
      <w:pPr>
        <w:pStyle w:val="ListParagraph"/>
        <w:numPr>
          <w:ilvl w:val="0"/>
          <w:numId w:val="170"/>
        </w:numPr>
        <w:spacing w:after="120"/>
        <w:contextualSpacing w:val="0"/>
        <w:jc w:val="both"/>
        <w:rPr>
          <w:b/>
          <w:bCs/>
          <w:highlight w:val="yellow"/>
        </w:rPr>
      </w:pPr>
      <w:r w:rsidRPr="00AF7381">
        <w:rPr>
          <w:highlight w:val="yellow"/>
        </w:rPr>
        <w:t>The agency or program was unable to contact the household after making no less than three attempts when a phone number has been provided.</w:t>
      </w:r>
    </w:p>
    <w:p w14:paraId="27F51E24" w14:textId="77777777" w:rsidR="00AF7381" w:rsidRPr="00AF7381" w:rsidRDefault="00AF7381">
      <w:pPr>
        <w:pStyle w:val="ListParagraph"/>
        <w:numPr>
          <w:ilvl w:val="0"/>
          <w:numId w:val="170"/>
        </w:numPr>
        <w:contextualSpacing w:val="0"/>
        <w:jc w:val="both"/>
        <w:rPr>
          <w:b/>
          <w:bCs/>
          <w:highlight w:val="yellow"/>
        </w:rPr>
      </w:pPr>
      <w:r w:rsidRPr="00AF7381">
        <w:rPr>
          <w:highlight w:val="yellow"/>
        </w:rPr>
        <w:t>The household was denied by a property owner/landlord due to certain criminal behaviors; the agency or program has determined the household cannot safely be accommodated; or the household cannot meet tenancy obligations with the supports provided by the agency or program.</w:t>
      </w:r>
    </w:p>
    <w:p w14:paraId="0192114A" w14:textId="77777777" w:rsidR="00AF7381" w:rsidRPr="00AF7381" w:rsidRDefault="00AF7381" w:rsidP="00AF7381">
      <w:pPr>
        <w:pStyle w:val="ListParagraph"/>
        <w:contextualSpacing w:val="0"/>
        <w:jc w:val="both"/>
        <w:rPr>
          <w:b/>
          <w:bCs/>
          <w:highlight w:val="yellow"/>
        </w:rPr>
      </w:pPr>
    </w:p>
    <w:p w14:paraId="5BADFEED" w14:textId="77777777" w:rsidR="00AF7381" w:rsidRPr="00AF7381" w:rsidRDefault="00AF7381" w:rsidP="00AF7381">
      <w:pPr>
        <w:jc w:val="both"/>
        <w:rPr>
          <w:highlight w:val="yellow"/>
        </w:rPr>
      </w:pPr>
      <w:r w:rsidRPr="00AF7381">
        <w:rPr>
          <w:highlight w:val="yellow"/>
        </w:rPr>
        <w:t>Households in a housing crisis who are not likely to be rapidly housed by a project should not be put on a waiting list and told that it is the resources they are waiting for that will end their homelessness.  Instead, service providers at shelters and in the CSCoC work with households on alternative housing plans, including applying for affordable housing in the community, increasing income from employment and benefits, and exploring other housing opportunities available through the household’s personal support network.  Alternatively, if a household is prioritized for PSH but only RRH resources are available, coordinated entry shall have that household access RRH as a bridge or temporary placement, without it negatively affecting their PSH eligibility.</w:t>
      </w:r>
    </w:p>
    <w:p w14:paraId="3D19A909" w14:textId="77777777" w:rsidR="00AF7381" w:rsidRPr="00AF7381" w:rsidRDefault="00AF7381" w:rsidP="00AF7381">
      <w:pPr>
        <w:jc w:val="both"/>
        <w:rPr>
          <w:highlight w:val="yellow"/>
        </w:rPr>
      </w:pPr>
    </w:p>
    <w:p w14:paraId="1C768288" w14:textId="77777777" w:rsidR="00AF7381" w:rsidRPr="00AF7381" w:rsidRDefault="00AF7381" w:rsidP="00AF7381">
      <w:pPr>
        <w:jc w:val="both"/>
        <w:rPr>
          <w:highlight w:val="yellow"/>
        </w:rPr>
      </w:pPr>
      <w:r w:rsidRPr="00AF7381">
        <w:rPr>
          <w:highlight w:val="yellow"/>
        </w:rPr>
        <w:t xml:space="preserve">Sometimes potential program participants might feel strongly that they want to be referred to one type of project, but their assessment results suggest a different type.  Similarly, assessment protocols might send a service provider a referral it does not feel able or well suited to accommodate.  The CES referral system includes a mechanism for addressing such incompatibility concerns.  </w:t>
      </w:r>
    </w:p>
    <w:p w14:paraId="097A6118" w14:textId="77777777" w:rsidR="00AF7381" w:rsidRPr="00AF7381" w:rsidRDefault="00AF7381">
      <w:pPr>
        <w:pStyle w:val="ListParagraph"/>
        <w:numPr>
          <w:ilvl w:val="0"/>
          <w:numId w:val="171"/>
        </w:numPr>
        <w:spacing w:after="120"/>
        <w:contextualSpacing w:val="0"/>
        <w:jc w:val="both"/>
        <w:rPr>
          <w:b/>
          <w:bCs/>
          <w:highlight w:val="yellow"/>
        </w:rPr>
      </w:pPr>
      <w:r w:rsidRPr="00AF7381">
        <w:rPr>
          <w:highlight w:val="yellow"/>
        </w:rPr>
        <w:t>Case counseling and reconciliation – In certain circumstances, program participant or provider differences may be mediated through an inclusive counseling session organized by the referring agency.  Such a counseling session proceeds like mediation and aims to specify the best service outcome to which both the program household and service provider are amenable.</w:t>
      </w:r>
    </w:p>
    <w:p w14:paraId="36EB8659" w14:textId="77777777" w:rsidR="00AF7381" w:rsidRPr="00AF7381" w:rsidRDefault="00AF7381">
      <w:pPr>
        <w:pStyle w:val="ListParagraph"/>
        <w:numPr>
          <w:ilvl w:val="0"/>
          <w:numId w:val="171"/>
        </w:numPr>
        <w:spacing w:after="120"/>
        <w:contextualSpacing w:val="0"/>
        <w:jc w:val="both"/>
        <w:rPr>
          <w:b/>
          <w:bCs/>
          <w:highlight w:val="yellow"/>
        </w:rPr>
      </w:pPr>
      <w:r w:rsidRPr="00AF7381">
        <w:rPr>
          <w:highlight w:val="yellow"/>
        </w:rPr>
        <w:lastRenderedPageBreak/>
        <w:t>Program participant’s right to reject – Coordinated entry permits potential program participants the right to reject housing and services for which they are eligible.  In these cases, the referring agency shall explore alternative service strategies and identify new referrals.</w:t>
      </w:r>
    </w:p>
    <w:p w14:paraId="048DD9C1" w14:textId="64F81E1B" w:rsidR="00AF7381" w:rsidRPr="00AF7381" w:rsidRDefault="00AF7381">
      <w:pPr>
        <w:pStyle w:val="ListParagraph"/>
        <w:numPr>
          <w:ilvl w:val="0"/>
          <w:numId w:val="171"/>
        </w:numPr>
        <w:contextualSpacing w:val="0"/>
        <w:jc w:val="both"/>
        <w:rPr>
          <w:b/>
          <w:bCs/>
          <w:highlight w:val="yellow"/>
        </w:rPr>
      </w:pPr>
      <w:r w:rsidRPr="00AF7381">
        <w:rPr>
          <w:highlight w:val="yellow"/>
        </w:rPr>
        <w:t xml:space="preserve">Service provider’s right to refuse – As an interim solution to circumstance-based compatibility concerns, CSCoC allows receiving agencies the right to refuse housing or services to a household referred to them.  Per HUD requirements, CSCoC has </w:t>
      </w:r>
      <w:r w:rsidR="00CF123B">
        <w:rPr>
          <w:highlight w:val="yellow"/>
        </w:rPr>
        <w:t>these Written Standards</w:t>
      </w:r>
      <w:r w:rsidRPr="00AF7381">
        <w:rPr>
          <w:highlight w:val="yellow"/>
        </w:rPr>
        <w:t xml:space="preserve"> for determining whether the agency’s rejection of the referral is appropriate and how the referring agency will integrate the household’s choice for service into the referral process to ensure that they are afforded the next-best referral.  The CSCoC documents evidence of the conditions to support the rejection.  Allowing service </w:t>
      </w:r>
      <w:proofErr w:type="gramStart"/>
      <w:r w:rsidRPr="00AF7381">
        <w:rPr>
          <w:highlight w:val="yellow"/>
        </w:rPr>
        <w:t>providers</w:t>
      </w:r>
      <w:proofErr w:type="gramEnd"/>
      <w:r w:rsidRPr="00AF7381">
        <w:rPr>
          <w:highlight w:val="yellow"/>
        </w:rPr>
        <w:t xml:space="preserve"> the right to reject referral should allay their concerns about relinquishing control and expedite their early adoption of the coordinated entry process.  As implementation proceeds and the referral process is refined, and service providers are comfortable with its use, CSCoC Coordinated Entry Committee may discuss either replacing the rejection procedure with case counseling or eliminating it.</w:t>
      </w:r>
    </w:p>
    <w:p w14:paraId="50E77749" w14:textId="77777777" w:rsidR="00AF7381" w:rsidRPr="00AF7381" w:rsidRDefault="00AF7381" w:rsidP="00AF7381">
      <w:pPr>
        <w:pStyle w:val="ListParagraph"/>
        <w:contextualSpacing w:val="0"/>
        <w:jc w:val="both"/>
        <w:rPr>
          <w:b/>
          <w:bCs/>
          <w:highlight w:val="yellow"/>
        </w:rPr>
      </w:pPr>
    </w:p>
    <w:p w14:paraId="5AD811DF" w14:textId="77777777" w:rsidR="00AF7381" w:rsidRPr="0058586C" w:rsidRDefault="00AF7381" w:rsidP="00AF7381">
      <w:pPr>
        <w:pStyle w:val="Heading2"/>
        <w:rPr>
          <w:color w:val="0070C0"/>
          <w:highlight w:val="yellow"/>
        </w:rPr>
      </w:pPr>
      <w:bookmarkStart w:id="95" w:name="_Toc34043215"/>
      <w:bookmarkStart w:id="96" w:name="_Toc124255016"/>
      <w:r w:rsidRPr="0058586C">
        <w:rPr>
          <w:color w:val="0070C0"/>
          <w:highlight w:val="yellow"/>
        </w:rPr>
        <w:t>When Households are Difficult to Locate or Refuse Housing</w:t>
      </w:r>
      <w:bookmarkEnd w:id="95"/>
      <w:bookmarkEnd w:id="96"/>
    </w:p>
    <w:p w14:paraId="2E32767F" w14:textId="77777777" w:rsidR="00AF7381" w:rsidRPr="00AF7381" w:rsidRDefault="00AF7381" w:rsidP="00AF7381">
      <w:pPr>
        <w:jc w:val="both"/>
        <w:rPr>
          <w:highlight w:val="yellow"/>
        </w:rPr>
      </w:pPr>
      <w:r w:rsidRPr="00AF7381">
        <w:rPr>
          <w:highlight w:val="yellow"/>
        </w:rPr>
        <w:t>The agency or program receiving the placement referral is responsible for contacting the household when a placement decision has been made by the HDC.  If the agency or program is unable to contact the household for one week, the agency or program may move on to the next household on the prioritization list.</w:t>
      </w:r>
    </w:p>
    <w:p w14:paraId="60F8C1D9" w14:textId="77777777" w:rsidR="00AF7381" w:rsidRPr="00AF7381" w:rsidRDefault="00AF7381" w:rsidP="00AF7381">
      <w:pPr>
        <w:jc w:val="both"/>
        <w:rPr>
          <w:highlight w:val="yellow"/>
        </w:rPr>
      </w:pPr>
    </w:p>
    <w:p w14:paraId="42318842" w14:textId="77777777" w:rsidR="00AF7381" w:rsidRPr="00AF7381" w:rsidRDefault="00AF7381" w:rsidP="00AF7381">
      <w:pPr>
        <w:jc w:val="both"/>
        <w:rPr>
          <w:highlight w:val="yellow"/>
        </w:rPr>
      </w:pPr>
      <w:r w:rsidRPr="00AF7381">
        <w:rPr>
          <w:highlight w:val="yellow"/>
        </w:rPr>
        <w:t>If a household declines a placement offer, the next household on the prioritization list must be contacted for placement.</w:t>
      </w:r>
    </w:p>
    <w:p w14:paraId="0145316F" w14:textId="77777777" w:rsidR="00AF7381" w:rsidRPr="00AF7381" w:rsidRDefault="00AF7381" w:rsidP="00AF7381">
      <w:pPr>
        <w:jc w:val="both"/>
        <w:rPr>
          <w:highlight w:val="yellow"/>
        </w:rPr>
      </w:pPr>
    </w:p>
    <w:p w14:paraId="5686208D" w14:textId="77777777" w:rsidR="00AF7381" w:rsidRPr="00AF7381" w:rsidRDefault="00AF7381" w:rsidP="00AF7381">
      <w:pPr>
        <w:jc w:val="both"/>
        <w:rPr>
          <w:highlight w:val="yellow"/>
        </w:rPr>
      </w:pPr>
      <w:r w:rsidRPr="00AF7381">
        <w:rPr>
          <w:highlight w:val="yellow"/>
        </w:rPr>
        <w:t xml:space="preserve">When a household is referred for housing, CES service provider shall see to it that a diligent attempt is made to locate that household and persuade the household to enter the housing program.  However, some homeless households may require significant engagement and contacts prior to entering housing.  Accordingly, programs are </w:t>
      </w:r>
      <w:r w:rsidRPr="00AF7381">
        <w:rPr>
          <w:highlight w:val="yellow"/>
          <w:u w:val="single"/>
        </w:rPr>
        <w:t>not</w:t>
      </w:r>
      <w:r w:rsidRPr="00AF7381">
        <w:rPr>
          <w:highlight w:val="yellow"/>
        </w:rPr>
        <w:t xml:space="preserve"> required to allow units to remain vacant indefinitely while waiting for an identified homeless household to accept an offer of housing.  Instead, if a referral remains unfilled after five business days of attempts to engage the intended tenant(s), the housing placement may be considered open again, and returned to the CES for additional referral attempts with new household(s).  CES service provider complete a standardized form with case notes recording when and how attempts were made to contact the household during the five-business day period.  Such records are kept for five years following the end of the five-business day contact attempt period.</w:t>
      </w:r>
    </w:p>
    <w:p w14:paraId="729BA806" w14:textId="77777777" w:rsidR="00AF7381" w:rsidRPr="00AF7381" w:rsidRDefault="00AF7381" w:rsidP="00AF7381">
      <w:pPr>
        <w:jc w:val="both"/>
        <w:rPr>
          <w:highlight w:val="yellow"/>
        </w:rPr>
      </w:pPr>
    </w:p>
    <w:p w14:paraId="5889DB93" w14:textId="77777777" w:rsidR="00AF7381" w:rsidRPr="00AF7381" w:rsidRDefault="00AF7381" w:rsidP="00AF7381">
      <w:pPr>
        <w:jc w:val="both"/>
        <w:rPr>
          <w:highlight w:val="yellow"/>
        </w:rPr>
      </w:pPr>
      <w:r w:rsidRPr="00AF7381">
        <w:rPr>
          <w:highlight w:val="yellow"/>
        </w:rPr>
        <w:t xml:space="preserve">The mere fact that a household could not be located or persuaded to enter housing is not used to remove or cancel the household’s priority for receiving housing or services.  However, if a household cannot be found for, or refuses a housing opportunity matched for them by case conference participants, three times, then CES service provider shall convene a case conference during which that household’s appropriateness for housing placement is reevaluated to determine next steps on a case by case basis, including referral to alternate project types and reclassification in the CES as “inactive”.  Case conference participants also shall determine which agency is </w:t>
      </w:r>
      <w:r w:rsidRPr="00AF7381">
        <w:rPr>
          <w:highlight w:val="yellow"/>
        </w:rPr>
        <w:lastRenderedPageBreak/>
        <w:t>best suited to reach out to the household to engage them in the discussion and report back to the group at the next case conference convening.</w:t>
      </w:r>
    </w:p>
    <w:p w14:paraId="3BB977BC" w14:textId="77777777" w:rsidR="00AF7381" w:rsidRPr="00AF7381" w:rsidRDefault="00AF7381" w:rsidP="00AF7381">
      <w:pPr>
        <w:jc w:val="both"/>
        <w:rPr>
          <w:b/>
          <w:bCs/>
          <w:highlight w:val="yellow"/>
        </w:rPr>
      </w:pPr>
    </w:p>
    <w:p w14:paraId="55333F43" w14:textId="77777777" w:rsidR="00AF7381" w:rsidRPr="00AF7381" w:rsidRDefault="00AF7381" w:rsidP="00AF7381">
      <w:pPr>
        <w:jc w:val="both"/>
        <w:rPr>
          <w:highlight w:val="yellow"/>
        </w:rPr>
      </w:pPr>
      <w:r w:rsidRPr="00AF7381">
        <w:rPr>
          <w:highlight w:val="yellow"/>
        </w:rPr>
        <w:t>Some prospective tenants may explicitly reject a housing placement.  When this happens, service providers shall attempt to determine the reason for the household’s refusal to accept the offered housing and to communicate this reason to the CES.</w:t>
      </w:r>
    </w:p>
    <w:p w14:paraId="2A0ED09F" w14:textId="77777777" w:rsidR="00AF7381" w:rsidRPr="00AF7381" w:rsidRDefault="00AF7381" w:rsidP="00AF7381">
      <w:pPr>
        <w:jc w:val="both"/>
        <w:rPr>
          <w:b/>
          <w:bCs/>
          <w:highlight w:val="yellow"/>
        </w:rPr>
      </w:pPr>
    </w:p>
    <w:p w14:paraId="15663117" w14:textId="77777777" w:rsidR="00AF7381" w:rsidRPr="00AF7381" w:rsidRDefault="00AF7381" w:rsidP="00AF7381">
      <w:pPr>
        <w:jc w:val="both"/>
        <w:rPr>
          <w:highlight w:val="yellow"/>
        </w:rPr>
      </w:pPr>
      <w:r w:rsidRPr="00AF7381">
        <w:rPr>
          <w:highlight w:val="yellow"/>
        </w:rPr>
        <w:t>Whenever possible, case conferencing participants will take households’ known preferences into account when generating referrals.  Participants who reject referral options still maintain their place in the coordinated entry prioritization list.</w:t>
      </w:r>
    </w:p>
    <w:p w14:paraId="0C760438" w14:textId="77777777" w:rsidR="00AF7381" w:rsidRPr="00AF7381" w:rsidRDefault="00AF7381" w:rsidP="00AF7381">
      <w:pPr>
        <w:jc w:val="both"/>
        <w:rPr>
          <w:b/>
          <w:bCs/>
          <w:highlight w:val="yellow"/>
        </w:rPr>
      </w:pPr>
    </w:p>
    <w:p w14:paraId="268C890D" w14:textId="77777777" w:rsidR="00AF7381" w:rsidRPr="0058586C" w:rsidRDefault="00AF7381" w:rsidP="00AF7381">
      <w:pPr>
        <w:pStyle w:val="Heading2"/>
        <w:rPr>
          <w:color w:val="0070C0"/>
          <w:highlight w:val="yellow"/>
        </w:rPr>
      </w:pPr>
      <w:bookmarkStart w:id="97" w:name="_Toc34043216"/>
      <w:bookmarkStart w:id="98" w:name="_Toc124255017"/>
      <w:r w:rsidRPr="0058586C">
        <w:rPr>
          <w:color w:val="0070C0"/>
          <w:highlight w:val="yellow"/>
        </w:rPr>
        <w:t>When Programs Reject a Household</w:t>
      </w:r>
      <w:bookmarkEnd w:id="97"/>
      <w:bookmarkEnd w:id="98"/>
    </w:p>
    <w:p w14:paraId="78726DBE" w14:textId="77777777" w:rsidR="00AF7381" w:rsidRPr="00AF7381" w:rsidRDefault="00AF7381" w:rsidP="00AF7381">
      <w:pPr>
        <w:jc w:val="both"/>
        <w:rPr>
          <w:highlight w:val="yellow"/>
        </w:rPr>
      </w:pPr>
      <w:r w:rsidRPr="00AF7381">
        <w:rPr>
          <w:highlight w:val="yellow"/>
        </w:rPr>
        <w:t>Service providers should rarely reject a referral from coordinated entry.  CSCoC or ESG programs may reject a household referred by the CES only if:</w:t>
      </w:r>
    </w:p>
    <w:p w14:paraId="58E910CD" w14:textId="77777777" w:rsidR="00AF7381" w:rsidRPr="00AF7381" w:rsidRDefault="00AF7381">
      <w:pPr>
        <w:pStyle w:val="ListParagraph"/>
        <w:numPr>
          <w:ilvl w:val="0"/>
          <w:numId w:val="172"/>
        </w:numPr>
        <w:spacing w:after="120"/>
        <w:contextualSpacing w:val="0"/>
        <w:jc w:val="both"/>
        <w:rPr>
          <w:b/>
          <w:bCs/>
          <w:highlight w:val="yellow"/>
        </w:rPr>
      </w:pPr>
      <w:r w:rsidRPr="00AF7381">
        <w:rPr>
          <w:highlight w:val="yellow"/>
        </w:rPr>
        <w:t>That household is ineligible to participate in the program because of restrictions imposed by government regulations or outside funding sources; or</w:t>
      </w:r>
    </w:p>
    <w:p w14:paraId="00366F34" w14:textId="77777777" w:rsidR="00AF7381" w:rsidRPr="00AF7381" w:rsidRDefault="00AF7381">
      <w:pPr>
        <w:pStyle w:val="ListParagraph"/>
        <w:numPr>
          <w:ilvl w:val="0"/>
          <w:numId w:val="172"/>
        </w:numPr>
        <w:contextualSpacing w:val="0"/>
        <w:jc w:val="both"/>
        <w:rPr>
          <w:b/>
          <w:bCs/>
          <w:highlight w:val="yellow"/>
        </w:rPr>
      </w:pPr>
      <w:r w:rsidRPr="00AF7381">
        <w:rPr>
          <w:highlight w:val="yellow"/>
        </w:rPr>
        <w:t>The program lacks the capacity to safely accommodate that household.</w:t>
      </w:r>
    </w:p>
    <w:p w14:paraId="4354D27E" w14:textId="77777777" w:rsidR="00AF7381" w:rsidRPr="00AF7381" w:rsidRDefault="00AF7381" w:rsidP="00AF7381">
      <w:pPr>
        <w:pStyle w:val="ListParagraph"/>
        <w:contextualSpacing w:val="0"/>
        <w:jc w:val="both"/>
        <w:rPr>
          <w:b/>
          <w:bCs/>
          <w:highlight w:val="yellow"/>
        </w:rPr>
      </w:pPr>
    </w:p>
    <w:p w14:paraId="281BF2E2" w14:textId="77777777" w:rsidR="00AF7381" w:rsidRPr="00AF7381" w:rsidRDefault="00AF7381" w:rsidP="00AF7381">
      <w:pPr>
        <w:jc w:val="both"/>
        <w:rPr>
          <w:highlight w:val="yellow"/>
        </w:rPr>
      </w:pPr>
      <w:r w:rsidRPr="00AF7381">
        <w:rPr>
          <w:highlight w:val="yellow"/>
        </w:rPr>
        <w:t>Whenever a program rejects a referral, the program documents the time of the rejection and the reason for the rejection and communicates that information to both the household and to CES service provider within three (3) days of refusal.</w:t>
      </w:r>
    </w:p>
    <w:p w14:paraId="5341986D" w14:textId="77777777" w:rsidR="00AF7381" w:rsidRPr="00AF7381" w:rsidRDefault="00AF7381" w:rsidP="00AF7381">
      <w:pPr>
        <w:jc w:val="both"/>
        <w:rPr>
          <w:highlight w:val="yellow"/>
        </w:rPr>
      </w:pPr>
    </w:p>
    <w:p w14:paraId="29A9DD0F" w14:textId="77777777" w:rsidR="00F90BC7" w:rsidRDefault="00AF7381" w:rsidP="00AF7381">
      <w:pPr>
        <w:jc w:val="both"/>
        <w:rPr>
          <w:highlight w:val="yellow"/>
        </w:rPr>
      </w:pPr>
      <w:r w:rsidRPr="00AF7381">
        <w:rPr>
          <w:highlight w:val="yellow"/>
        </w:rPr>
        <w:t xml:space="preserve">All CSCoC and ESG service providers adopt a Housing First approach that continually lowers the barriers to entry for prospective households and avoids screening out households based on real or perceived barriers to success.  A service provider that repeatedly rejects referrals of high-needs households based on an inability to safely accommodate those households must attempt to improve its capacity to serve high-needs households.  The CSCoC provides training and technical assistance on this topic upon request. </w:t>
      </w:r>
    </w:p>
    <w:p w14:paraId="2A22D87C" w14:textId="77777777" w:rsidR="00F90BC7" w:rsidRDefault="00F90BC7" w:rsidP="00AF7381">
      <w:pPr>
        <w:jc w:val="both"/>
        <w:rPr>
          <w:highlight w:val="yellow"/>
        </w:rPr>
      </w:pPr>
    </w:p>
    <w:p w14:paraId="16815CA6" w14:textId="15D7DEA6" w:rsidR="00AF7381" w:rsidRPr="00AF7381" w:rsidRDefault="00AF7381" w:rsidP="00AF7381">
      <w:pPr>
        <w:jc w:val="both"/>
        <w:rPr>
          <w:highlight w:val="yellow"/>
        </w:rPr>
      </w:pPr>
      <w:r w:rsidRPr="00AF7381">
        <w:rPr>
          <w:highlight w:val="yellow"/>
        </w:rPr>
        <w:t>The CSCoC’s Rank and Review Committee may reallocate the funding of low-capacity service providers that cannot or will not make diligent efforts to improve their capacity to serve high-needs households.</w:t>
      </w:r>
    </w:p>
    <w:p w14:paraId="7BCC17FB" w14:textId="77777777" w:rsidR="00AF7381" w:rsidRPr="00AF7381" w:rsidRDefault="00AF7381" w:rsidP="00AF7381">
      <w:pPr>
        <w:jc w:val="both"/>
        <w:rPr>
          <w:highlight w:val="yellow"/>
        </w:rPr>
      </w:pPr>
    </w:p>
    <w:p w14:paraId="5FC0E38E" w14:textId="77777777" w:rsidR="00AF7381" w:rsidRPr="00AF7381" w:rsidRDefault="00AF7381" w:rsidP="00AF7381">
      <w:pPr>
        <w:jc w:val="both"/>
        <w:rPr>
          <w:highlight w:val="yellow"/>
        </w:rPr>
      </w:pPr>
      <w:r w:rsidRPr="00AF7381">
        <w:rPr>
          <w:highlight w:val="yellow"/>
        </w:rPr>
        <w:t>When a household has been rejected from a program, CES service provider shall investigate the reasons provided (if any), attempt to determine whether the household can be safely and lawfully placed in that program, and, if not, raise the household’s case again at the next case conference to locate alternative housing for the household.</w:t>
      </w:r>
    </w:p>
    <w:p w14:paraId="05E6A3AB" w14:textId="77777777" w:rsidR="00AF7381" w:rsidRPr="00AF7381" w:rsidRDefault="00AF7381" w:rsidP="00AF7381">
      <w:pPr>
        <w:jc w:val="both"/>
        <w:rPr>
          <w:highlight w:val="yellow"/>
        </w:rPr>
      </w:pPr>
    </w:p>
    <w:p w14:paraId="7C218BDE" w14:textId="77777777" w:rsidR="00AF7381" w:rsidRPr="00AF7381" w:rsidRDefault="00AF7381" w:rsidP="00AF7381">
      <w:pPr>
        <w:jc w:val="both"/>
        <w:rPr>
          <w:highlight w:val="yellow"/>
        </w:rPr>
      </w:pPr>
      <w:r w:rsidRPr="00AF7381">
        <w:rPr>
          <w:highlight w:val="yellow"/>
        </w:rPr>
        <w:t>A household shall not lose its priority or be returned to a general waiting list simply because it was rejected by a service provider.</w:t>
      </w:r>
    </w:p>
    <w:p w14:paraId="2DFFBF0F" w14:textId="77777777" w:rsidR="00AF7381" w:rsidRPr="00AF7381" w:rsidRDefault="00AF7381" w:rsidP="00AF7381">
      <w:pPr>
        <w:jc w:val="both"/>
        <w:rPr>
          <w:highlight w:val="yellow"/>
        </w:rPr>
      </w:pPr>
    </w:p>
    <w:p w14:paraId="47515C38" w14:textId="77777777" w:rsidR="00AF7381" w:rsidRPr="0058586C" w:rsidRDefault="00AF7381" w:rsidP="00AF7381">
      <w:pPr>
        <w:pStyle w:val="Heading2"/>
        <w:rPr>
          <w:color w:val="0070C0"/>
          <w:highlight w:val="yellow"/>
        </w:rPr>
      </w:pPr>
      <w:bookmarkStart w:id="99" w:name="_Toc34043217"/>
      <w:bookmarkStart w:id="100" w:name="_Toc124255018"/>
      <w:r w:rsidRPr="0058586C">
        <w:rPr>
          <w:color w:val="0070C0"/>
          <w:highlight w:val="yellow"/>
        </w:rPr>
        <w:lastRenderedPageBreak/>
        <w:t>Incorporating Mainstream Services</w:t>
      </w:r>
      <w:bookmarkEnd w:id="99"/>
      <w:bookmarkEnd w:id="100"/>
    </w:p>
    <w:p w14:paraId="174BABE9" w14:textId="77777777" w:rsidR="00AF7381" w:rsidRPr="00AF7381" w:rsidRDefault="00AF7381" w:rsidP="00AF7381">
      <w:pPr>
        <w:jc w:val="both"/>
        <w:rPr>
          <w:highlight w:val="yellow"/>
        </w:rPr>
      </w:pPr>
      <w:r w:rsidRPr="00AF7381">
        <w:rPr>
          <w:highlight w:val="yellow"/>
        </w:rPr>
        <w:t>The CSCoC includes relevant mainstream service providers in the following activities:</w:t>
      </w:r>
    </w:p>
    <w:p w14:paraId="4D0EBBC5" w14:textId="77777777" w:rsidR="00AF7381" w:rsidRPr="00AF7381" w:rsidRDefault="00AF7381">
      <w:pPr>
        <w:pStyle w:val="ListParagraph"/>
        <w:numPr>
          <w:ilvl w:val="0"/>
          <w:numId w:val="173"/>
        </w:numPr>
        <w:spacing w:after="60"/>
        <w:contextualSpacing w:val="0"/>
        <w:rPr>
          <w:highlight w:val="yellow"/>
        </w:rPr>
      </w:pPr>
      <w:r w:rsidRPr="00AF7381">
        <w:rPr>
          <w:highlight w:val="yellow"/>
        </w:rPr>
        <w:t>Identifying households experiencing or at risk of experiencing homelessness;</w:t>
      </w:r>
    </w:p>
    <w:p w14:paraId="49466243" w14:textId="77777777" w:rsidR="00AF7381" w:rsidRPr="00AF7381" w:rsidRDefault="00AF7381">
      <w:pPr>
        <w:pStyle w:val="ListParagraph"/>
        <w:numPr>
          <w:ilvl w:val="0"/>
          <w:numId w:val="173"/>
        </w:numPr>
        <w:spacing w:after="60"/>
        <w:contextualSpacing w:val="0"/>
        <w:rPr>
          <w:highlight w:val="yellow"/>
        </w:rPr>
      </w:pPr>
      <w:r w:rsidRPr="00AF7381">
        <w:rPr>
          <w:highlight w:val="yellow"/>
        </w:rPr>
        <w:t>Facilitating referrals to and from the coordinated entry process;</w:t>
      </w:r>
    </w:p>
    <w:p w14:paraId="2C347B2F" w14:textId="77777777" w:rsidR="00AF7381" w:rsidRPr="00AF7381" w:rsidRDefault="00AF7381">
      <w:pPr>
        <w:pStyle w:val="ListParagraph"/>
        <w:numPr>
          <w:ilvl w:val="0"/>
          <w:numId w:val="173"/>
        </w:numPr>
        <w:spacing w:after="60"/>
        <w:contextualSpacing w:val="0"/>
        <w:rPr>
          <w:highlight w:val="yellow"/>
        </w:rPr>
      </w:pPr>
      <w:r w:rsidRPr="00AF7381">
        <w:rPr>
          <w:highlight w:val="yellow"/>
        </w:rPr>
        <w:t>Aligning prioritization criteria where applicable;</w:t>
      </w:r>
    </w:p>
    <w:p w14:paraId="7466818E" w14:textId="77777777" w:rsidR="00AF7381" w:rsidRPr="00AF7381" w:rsidRDefault="00AF7381">
      <w:pPr>
        <w:pStyle w:val="ListParagraph"/>
        <w:numPr>
          <w:ilvl w:val="0"/>
          <w:numId w:val="173"/>
        </w:numPr>
        <w:spacing w:after="60"/>
        <w:contextualSpacing w:val="0"/>
        <w:rPr>
          <w:highlight w:val="yellow"/>
        </w:rPr>
      </w:pPr>
      <w:r w:rsidRPr="00AF7381">
        <w:rPr>
          <w:highlight w:val="yellow"/>
        </w:rPr>
        <w:t>Coordinating services and assistance; and</w:t>
      </w:r>
    </w:p>
    <w:p w14:paraId="1B85095E" w14:textId="77777777" w:rsidR="00AF7381" w:rsidRPr="00AF7381" w:rsidRDefault="00AF7381">
      <w:pPr>
        <w:pStyle w:val="ListParagraph"/>
        <w:numPr>
          <w:ilvl w:val="0"/>
          <w:numId w:val="173"/>
        </w:numPr>
        <w:spacing w:after="60"/>
        <w:contextualSpacing w:val="0"/>
        <w:rPr>
          <w:highlight w:val="yellow"/>
        </w:rPr>
      </w:pPr>
      <w:r w:rsidRPr="00AF7381">
        <w:rPr>
          <w:highlight w:val="yellow"/>
        </w:rPr>
        <w:t>Conducting activities related to continual process improvement</w:t>
      </w:r>
    </w:p>
    <w:p w14:paraId="59C51A76" w14:textId="4E80B36A" w:rsidR="00AF7381" w:rsidRPr="00AF7381" w:rsidRDefault="00CF123B" w:rsidP="00AF7381">
      <w:pPr>
        <w:spacing w:after="120"/>
        <w:jc w:val="both"/>
        <w:rPr>
          <w:highlight w:val="yellow"/>
        </w:rPr>
      </w:pPr>
      <w:r>
        <w:rPr>
          <w:highlight w:val="yellow"/>
        </w:rPr>
        <w:t xml:space="preserve">These </w:t>
      </w:r>
      <w:r w:rsidR="00AF7381" w:rsidRPr="00AF7381">
        <w:rPr>
          <w:highlight w:val="yellow"/>
        </w:rPr>
        <w:t xml:space="preserve">Written </w:t>
      </w:r>
      <w:r>
        <w:rPr>
          <w:highlight w:val="yellow"/>
        </w:rPr>
        <w:t>Standards</w:t>
      </w:r>
      <w:r w:rsidR="00AF7381" w:rsidRPr="00AF7381">
        <w:rPr>
          <w:highlight w:val="yellow"/>
        </w:rPr>
        <w:t xml:space="preserve"> describe how each participating mainstream housing and service provider will participate, including the processes by which referrals are made and received.</w:t>
      </w:r>
    </w:p>
    <w:p w14:paraId="79950D5C" w14:textId="77777777" w:rsidR="00AF7381" w:rsidRPr="00AF7381" w:rsidRDefault="00AF7381" w:rsidP="00AF7381">
      <w:pPr>
        <w:rPr>
          <w:highlight w:val="yellow"/>
        </w:rPr>
      </w:pPr>
      <w:r w:rsidRPr="00AF7381">
        <w:rPr>
          <w:highlight w:val="yellow"/>
        </w:rPr>
        <w:t>Examples of mainstream housing and service providers include:</w:t>
      </w:r>
    </w:p>
    <w:p w14:paraId="662E8339" w14:textId="77777777" w:rsidR="00AF7381" w:rsidRPr="00AF7381" w:rsidRDefault="00AF7381">
      <w:pPr>
        <w:pStyle w:val="ListParagraph"/>
        <w:numPr>
          <w:ilvl w:val="0"/>
          <w:numId w:val="174"/>
        </w:numPr>
        <w:spacing w:after="60"/>
        <w:contextualSpacing w:val="0"/>
        <w:rPr>
          <w:highlight w:val="yellow"/>
        </w:rPr>
      </w:pPr>
      <w:r w:rsidRPr="00AF7381">
        <w:rPr>
          <w:highlight w:val="yellow"/>
        </w:rPr>
        <w:t>Public Housing Agencies</w:t>
      </w:r>
    </w:p>
    <w:p w14:paraId="216D04D7" w14:textId="77777777" w:rsidR="00AF7381" w:rsidRPr="00AF7381" w:rsidRDefault="00AF7381">
      <w:pPr>
        <w:pStyle w:val="ListParagraph"/>
        <w:numPr>
          <w:ilvl w:val="0"/>
          <w:numId w:val="174"/>
        </w:numPr>
        <w:spacing w:after="60"/>
        <w:contextualSpacing w:val="0"/>
        <w:rPr>
          <w:highlight w:val="yellow"/>
        </w:rPr>
      </w:pPr>
      <w:r w:rsidRPr="00AF7381">
        <w:rPr>
          <w:highlight w:val="yellow"/>
        </w:rPr>
        <w:t>Affordable housing operators</w:t>
      </w:r>
    </w:p>
    <w:p w14:paraId="6E5F6B7E" w14:textId="77777777" w:rsidR="00AF7381" w:rsidRPr="00AF7381" w:rsidRDefault="00AF7381">
      <w:pPr>
        <w:pStyle w:val="ListParagraph"/>
        <w:numPr>
          <w:ilvl w:val="0"/>
          <w:numId w:val="174"/>
        </w:numPr>
        <w:spacing w:after="60"/>
        <w:contextualSpacing w:val="0"/>
        <w:rPr>
          <w:highlight w:val="yellow"/>
        </w:rPr>
      </w:pPr>
      <w:r w:rsidRPr="00AF7381">
        <w:rPr>
          <w:highlight w:val="yellow"/>
        </w:rPr>
        <w:t>VA Medical Centers</w:t>
      </w:r>
    </w:p>
    <w:p w14:paraId="5DABB43D" w14:textId="77777777" w:rsidR="00AF7381" w:rsidRPr="00AF7381" w:rsidRDefault="00AF7381">
      <w:pPr>
        <w:pStyle w:val="ListParagraph"/>
        <w:numPr>
          <w:ilvl w:val="0"/>
          <w:numId w:val="174"/>
        </w:numPr>
        <w:spacing w:after="60"/>
        <w:contextualSpacing w:val="0"/>
        <w:rPr>
          <w:highlight w:val="yellow"/>
        </w:rPr>
      </w:pPr>
      <w:r w:rsidRPr="00AF7381">
        <w:rPr>
          <w:highlight w:val="yellow"/>
        </w:rPr>
        <w:t>Public child welfare agencies</w:t>
      </w:r>
    </w:p>
    <w:p w14:paraId="1F2E5E8E" w14:textId="77777777" w:rsidR="00AF7381" w:rsidRPr="00AF7381" w:rsidRDefault="00AF7381">
      <w:pPr>
        <w:pStyle w:val="ListParagraph"/>
        <w:numPr>
          <w:ilvl w:val="0"/>
          <w:numId w:val="174"/>
        </w:numPr>
        <w:spacing w:after="60"/>
        <w:contextualSpacing w:val="0"/>
        <w:rPr>
          <w:highlight w:val="yellow"/>
        </w:rPr>
      </w:pPr>
      <w:r w:rsidRPr="00AF7381">
        <w:rPr>
          <w:highlight w:val="yellow"/>
        </w:rPr>
        <w:t>Service providers of mental, physical, or behavioral health services</w:t>
      </w:r>
    </w:p>
    <w:p w14:paraId="50EE319F" w14:textId="77777777" w:rsidR="00AF7381" w:rsidRPr="00AF7381" w:rsidRDefault="00AF7381">
      <w:pPr>
        <w:pStyle w:val="ListParagraph"/>
        <w:numPr>
          <w:ilvl w:val="0"/>
          <w:numId w:val="174"/>
        </w:numPr>
        <w:spacing w:after="60"/>
        <w:contextualSpacing w:val="0"/>
        <w:rPr>
          <w:highlight w:val="yellow"/>
        </w:rPr>
      </w:pPr>
      <w:r w:rsidRPr="00AF7381">
        <w:rPr>
          <w:highlight w:val="yellow"/>
        </w:rPr>
        <w:t>Schools</w:t>
      </w:r>
    </w:p>
    <w:p w14:paraId="5CF277E7" w14:textId="77777777" w:rsidR="00AF7381" w:rsidRPr="00AF7381" w:rsidRDefault="00AF7381">
      <w:pPr>
        <w:pStyle w:val="ListParagraph"/>
        <w:numPr>
          <w:ilvl w:val="0"/>
          <w:numId w:val="174"/>
        </w:numPr>
        <w:spacing w:after="60"/>
        <w:contextualSpacing w:val="0"/>
        <w:rPr>
          <w:highlight w:val="yellow"/>
        </w:rPr>
      </w:pPr>
      <w:r w:rsidRPr="00AF7381">
        <w:rPr>
          <w:highlight w:val="yellow"/>
        </w:rPr>
        <w:t>Early childhood care and education service providers</w:t>
      </w:r>
    </w:p>
    <w:p w14:paraId="5CEEBC45" w14:textId="77777777" w:rsidR="00AF7381" w:rsidRPr="00AF7381" w:rsidRDefault="00AF7381">
      <w:pPr>
        <w:pStyle w:val="ListParagraph"/>
        <w:numPr>
          <w:ilvl w:val="0"/>
          <w:numId w:val="174"/>
        </w:numPr>
        <w:spacing w:after="60"/>
        <w:contextualSpacing w:val="0"/>
        <w:rPr>
          <w:highlight w:val="yellow"/>
        </w:rPr>
      </w:pPr>
      <w:r w:rsidRPr="00AF7381">
        <w:rPr>
          <w:highlight w:val="yellow"/>
        </w:rPr>
        <w:t>Out of school time service providers</w:t>
      </w:r>
    </w:p>
    <w:p w14:paraId="4DB99DB9" w14:textId="77777777" w:rsidR="00AF7381" w:rsidRPr="00AF7381" w:rsidRDefault="00AF7381">
      <w:pPr>
        <w:pStyle w:val="ListParagraph"/>
        <w:numPr>
          <w:ilvl w:val="0"/>
          <w:numId w:val="174"/>
        </w:numPr>
        <w:spacing w:after="60"/>
        <w:contextualSpacing w:val="0"/>
        <w:rPr>
          <w:highlight w:val="yellow"/>
        </w:rPr>
      </w:pPr>
      <w:r w:rsidRPr="00AF7381">
        <w:rPr>
          <w:highlight w:val="yellow"/>
        </w:rPr>
        <w:t xml:space="preserve">Hospitals </w:t>
      </w:r>
    </w:p>
    <w:p w14:paraId="64E4A94E" w14:textId="77777777" w:rsidR="00AF7381" w:rsidRPr="00AF7381" w:rsidRDefault="00AF7381">
      <w:pPr>
        <w:pStyle w:val="ListParagraph"/>
        <w:numPr>
          <w:ilvl w:val="0"/>
          <w:numId w:val="174"/>
        </w:numPr>
        <w:spacing w:after="60"/>
        <w:contextualSpacing w:val="0"/>
        <w:rPr>
          <w:highlight w:val="yellow"/>
        </w:rPr>
      </w:pPr>
      <w:proofErr w:type="gramStart"/>
      <w:r w:rsidRPr="00AF7381">
        <w:rPr>
          <w:highlight w:val="yellow"/>
        </w:rPr>
        <w:t>Correctional facilities</w:t>
      </w:r>
      <w:proofErr w:type="gramEnd"/>
    </w:p>
    <w:p w14:paraId="33401324" w14:textId="77777777" w:rsidR="00AF7381" w:rsidRPr="00AF7381" w:rsidRDefault="00AF7381">
      <w:pPr>
        <w:pStyle w:val="ListParagraph"/>
        <w:numPr>
          <w:ilvl w:val="0"/>
          <w:numId w:val="174"/>
        </w:numPr>
        <w:spacing w:after="60"/>
        <w:contextualSpacing w:val="0"/>
        <w:rPr>
          <w:highlight w:val="yellow"/>
        </w:rPr>
      </w:pPr>
      <w:r w:rsidRPr="00AF7381">
        <w:rPr>
          <w:highlight w:val="yellow"/>
        </w:rPr>
        <w:t>Workforce investment programs.</w:t>
      </w:r>
    </w:p>
    <w:p w14:paraId="54C04D03" w14:textId="77777777" w:rsidR="00AF7381" w:rsidRPr="00AF7381" w:rsidRDefault="00AF7381" w:rsidP="00AF7381">
      <w:pPr>
        <w:spacing w:after="120"/>
        <w:rPr>
          <w:highlight w:val="yellow"/>
        </w:rPr>
      </w:pPr>
    </w:p>
    <w:p w14:paraId="787AD986" w14:textId="1585325E" w:rsidR="00AF7381" w:rsidRDefault="00AF7381" w:rsidP="00AF7381">
      <w:pPr>
        <w:pStyle w:val="Heading1"/>
        <w:rPr>
          <w:highlight w:val="yellow"/>
        </w:rPr>
      </w:pPr>
    </w:p>
    <w:p w14:paraId="31E9EC22" w14:textId="76149FBA" w:rsidR="00F90BC7" w:rsidRDefault="00F90BC7" w:rsidP="00F90BC7">
      <w:pPr>
        <w:rPr>
          <w:highlight w:val="yellow"/>
        </w:rPr>
      </w:pPr>
    </w:p>
    <w:p w14:paraId="10409870" w14:textId="3EF04760" w:rsidR="00F90BC7" w:rsidRDefault="00F90BC7" w:rsidP="00F90BC7">
      <w:pPr>
        <w:rPr>
          <w:highlight w:val="yellow"/>
        </w:rPr>
      </w:pPr>
    </w:p>
    <w:p w14:paraId="22EF13A1" w14:textId="3F1A2A6A" w:rsidR="00F90BC7" w:rsidRDefault="00F90BC7" w:rsidP="00F90BC7">
      <w:pPr>
        <w:rPr>
          <w:highlight w:val="yellow"/>
        </w:rPr>
      </w:pPr>
    </w:p>
    <w:p w14:paraId="69D9FFC5" w14:textId="4429AF31" w:rsidR="00F90BC7" w:rsidRDefault="00F90BC7" w:rsidP="00F90BC7">
      <w:pPr>
        <w:rPr>
          <w:highlight w:val="yellow"/>
        </w:rPr>
      </w:pPr>
    </w:p>
    <w:p w14:paraId="0E32C05F" w14:textId="4DF9573F" w:rsidR="00F90BC7" w:rsidRDefault="00F90BC7" w:rsidP="00F90BC7">
      <w:pPr>
        <w:rPr>
          <w:highlight w:val="yellow"/>
        </w:rPr>
      </w:pPr>
    </w:p>
    <w:p w14:paraId="7194E08E" w14:textId="0E4E4A31" w:rsidR="00F90BC7" w:rsidRDefault="00F90BC7" w:rsidP="00F90BC7">
      <w:pPr>
        <w:rPr>
          <w:highlight w:val="yellow"/>
        </w:rPr>
      </w:pPr>
    </w:p>
    <w:p w14:paraId="6C80EED9" w14:textId="77777777" w:rsidR="00F90BC7" w:rsidRPr="00F90BC7" w:rsidRDefault="00F90BC7" w:rsidP="00F90BC7">
      <w:pPr>
        <w:rPr>
          <w:highlight w:val="yellow"/>
        </w:rPr>
      </w:pPr>
    </w:p>
    <w:p w14:paraId="17D31422" w14:textId="77777777" w:rsidR="00AF7381" w:rsidRPr="0058586C" w:rsidRDefault="00AF7381" w:rsidP="00AF7381">
      <w:pPr>
        <w:pStyle w:val="Heading1"/>
        <w:rPr>
          <w:b/>
          <w:bCs/>
          <w:color w:val="0070C0"/>
          <w:highlight w:val="yellow"/>
        </w:rPr>
      </w:pPr>
      <w:bookmarkStart w:id="101" w:name="_Toc124255019"/>
      <w:r w:rsidRPr="0058586C">
        <w:rPr>
          <w:b/>
          <w:bCs/>
          <w:color w:val="0070C0"/>
          <w:highlight w:val="yellow"/>
        </w:rPr>
        <w:lastRenderedPageBreak/>
        <w:t>Safety Planning</w:t>
      </w:r>
      <w:bookmarkEnd w:id="101"/>
    </w:p>
    <w:p w14:paraId="5DFD5A53" w14:textId="77777777" w:rsidR="00AF7381" w:rsidRPr="00AF7381" w:rsidRDefault="00AF7381" w:rsidP="00AF7381">
      <w:pPr>
        <w:jc w:val="both"/>
        <w:rPr>
          <w:highlight w:val="yellow"/>
        </w:rPr>
      </w:pPr>
      <w:r w:rsidRPr="00AF7381">
        <w:rPr>
          <w:highlight w:val="yellow"/>
        </w:rPr>
        <w:t xml:space="preserve">CSCoC’s CES ensures that households fleeing domestic violence have safe and confidential access to the coordinated entry process and domestic violence services, and that the coordinated entry process addresses the physical and emotional safety and </w:t>
      </w:r>
      <w:proofErr w:type="gramStart"/>
      <w:r w:rsidRPr="00AF7381">
        <w:rPr>
          <w:highlight w:val="yellow"/>
        </w:rPr>
        <w:t>privacy</w:t>
      </w:r>
      <w:proofErr w:type="gramEnd"/>
      <w:r w:rsidRPr="00AF7381">
        <w:rPr>
          <w:highlight w:val="yellow"/>
        </w:rPr>
        <w:t xml:space="preserve"> and confidentiality needs of participants.</w:t>
      </w:r>
    </w:p>
    <w:p w14:paraId="5B7EF9E4" w14:textId="77777777" w:rsidR="00AF7381" w:rsidRPr="00AF7381" w:rsidRDefault="00AF7381" w:rsidP="00AF7381">
      <w:pPr>
        <w:jc w:val="both"/>
        <w:rPr>
          <w:highlight w:val="yellow"/>
        </w:rPr>
      </w:pPr>
    </w:p>
    <w:p w14:paraId="31459491" w14:textId="5AF67ECC" w:rsidR="00AF7381" w:rsidRPr="00AF7381" w:rsidRDefault="00AF7381" w:rsidP="00AF7381">
      <w:pPr>
        <w:jc w:val="both"/>
        <w:rPr>
          <w:highlight w:val="yellow"/>
        </w:rPr>
      </w:pPr>
      <w:r w:rsidRPr="00AF7381">
        <w:rPr>
          <w:highlight w:val="yellow"/>
        </w:rPr>
        <w:t>The CSCoC continues to work with victim service providers within the geographic service area to establish household-driven, trauma-informed and culturally relevant assessment and screening tools</w:t>
      </w:r>
      <w:r w:rsidR="00CF123B">
        <w:rPr>
          <w:highlight w:val="yellow"/>
        </w:rPr>
        <w:t xml:space="preserve">. </w:t>
      </w:r>
    </w:p>
    <w:p w14:paraId="5561585D" w14:textId="77777777" w:rsidR="00AF7381" w:rsidRPr="00AF7381" w:rsidRDefault="00AF7381" w:rsidP="00AF7381">
      <w:pPr>
        <w:jc w:val="both"/>
        <w:rPr>
          <w:highlight w:val="yellow"/>
        </w:rPr>
      </w:pPr>
    </w:p>
    <w:p w14:paraId="1287D1E3" w14:textId="77777777" w:rsidR="00AF7381" w:rsidRPr="0058586C" w:rsidRDefault="00AF7381" w:rsidP="00AF7381">
      <w:pPr>
        <w:pStyle w:val="Heading2"/>
        <w:rPr>
          <w:color w:val="0070C0"/>
          <w:highlight w:val="yellow"/>
        </w:rPr>
      </w:pPr>
      <w:bookmarkStart w:id="102" w:name="_Toc34043219"/>
      <w:bookmarkStart w:id="103" w:name="_Toc124255020"/>
      <w:r w:rsidRPr="0058586C">
        <w:rPr>
          <w:color w:val="0070C0"/>
          <w:highlight w:val="yellow"/>
        </w:rPr>
        <w:t>Category 4</w:t>
      </w:r>
      <w:bookmarkEnd w:id="102"/>
      <w:bookmarkEnd w:id="103"/>
    </w:p>
    <w:p w14:paraId="7F8BACBB" w14:textId="5957C085" w:rsidR="00AF7381" w:rsidRPr="00AF7381" w:rsidRDefault="00AF7381" w:rsidP="00AF7381">
      <w:pPr>
        <w:jc w:val="both"/>
        <w:rPr>
          <w:highlight w:val="yellow"/>
        </w:rPr>
      </w:pPr>
      <w:r w:rsidRPr="00AF7381">
        <w:rPr>
          <w:highlight w:val="yellow"/>
        </w:rPr>
        <w:t xml:space="preserve">In these </w:t>
      </w:r>
      <w:r w:rsidR="00CF123B">
        <w:rPr>
          <w:highlight w:val="yellow"/>
        </w:rPr>
        <w:t>Written Standards</w:t>
      </w:r>
      <w:r w:rsidRPr="00AF7381">
        <w:rPr>
          <w:highlight w:val="yellow"/>
        </w:rPr>
        <w:t>, the shorthand term “victim of domestic violence” includes all individuals and families who qualify under paragraph (4) of HUD’s definition of homeless.  That definition includes any household who:</w:t>
      </w:r>
    </w:p>
    <w:p w14:paraId="2C6E75C6" w14:textId="77777777" w:rsidR="00AF7381" w:rsidRPr="00AF7381" w:rsidRDefault="00AF7381">
      <w:pPr>
        <w:pStyle w:val="ListParagraph"/>
        <w:numPr>
          <w:ilvl w:val="0"/>
          <w:numId w:val="175"/>
        </w:numPr>
        <w:spacing w:after="120"/>
        <w:contextualSpacing w:val="0"/>
        <w:jc w:val="both"/>
        <w:rPr>
          <w:highlight w:val="yellow"/>
        </w:rPr>
      </w:pPr>
      <w:r w:rsidRPr="00AF7381">
        <w:rPr>
          <w:highlight w:val="yellow"/>
        </w:rPr>
        <w:t xml:space="preserve">Is fleeing, or is attempting to flee, domestic violence, dating violence, sexual assault, stalking, or other dangerous or life-threatening conditions that relate to violence against the individual or a family member, including a child, that has either taken place within the individual’s or family’s primary nighttime residence or has made the individual or family afraid to return to their primary nighttime residence (including victims of human trafficking); and </w:t>
      </w:r>
    </w:p>
    <w:p w14:paraId="24A8FFE1" w14:textId="77777777" w:rsidR="00AF7381" w:rsidRPr="00AF7381" w:rsidRDefault="00AF7381">
      <w:pPr>
        <w:pStyle w:val="ListParagraph"/>
        <w:numPr>
          <w:ilvl w:val="0"/>
          <w:numId w:val="175"/>
        </w:numPr>
        <w:spacing w:after="120"/>
        <w:contextualSpacing w:val="0"/>
        <w:jc w:val="both"/>
        <w:rPr>
          <w:highlight w:val="yellow"/>
        </w:rPr>
      </w:pPr>
      <w:r w:rsidRPr="00AF7381">
        <w:rPr>
          <w:highlight w:val="yellow"/>
        </w:rPr>
        <w:t>Has no other residence; and</w:t>
      </w:r>
    </w:p>
    <w:p w14:paraId="026D1124" w14:textId="77777777" w:rsidR="00AF7381" w:rsidRPr="00AF7381" w:rsidRDefault="00AF7381">
      <w:pPr>
        <w:pStyle w:val="ListParagraph"/>
        <w:numPr>
          <w:ilvl w:val="0"/>
          <w:numId w:val="175"/>
        </w:numPr>
        <w:contextualSpacing w:val="0"/>
        <w:jc w:val="both"/>
        <w:rPr>
          <w:highlight w:val="yellow"/>
        </w:rPr>
      </w:pPr>
      <w:r w:rsidRPr="00AF7381">
        <w:rPr>
          <w:highlight w:val="yellow"/>
        </w:rPr>
        <w:t>Lacks the resources or support networks to obtain other permanent housing.</w:t>
      </w:r>
    </w:p>
    <w:p w14:paraId="2D37409C" w14:textId="77777777" w:rsidR="00AF7381" w:rsidRPr="00AF7381" w:rsidRDefault="00AF7381" w:rsidP="00AF7381">
      <w:pPr>
        <w:pStyle w:val="ListParagraph"/>
        <w:contextualSpacing w:val="0"/>
        <w:jc w:val="both"/>
        <w:rPr>
          <w:highlight w:val="yellow"/>
        </w:rPr>
      </w:pPr>
    </w:p>
    <w:p w14:paraId="3BB672CC" w14:textId="77777777" w:rsidR="00AF7381" w:rsidRPr="00AF7381" w:rsidRDefault="00AF7381" w:rsidP="00AF7381">
      <w:pPr>
        <w:jc w:val="both"/>
        <w:rPr>
          <w:highlight w:val="yellow"/>
        </w:rPr>
      </w:pPr>
      <w:r w:rsidRPr="00AF7381">
        <w:rPr>
          <w:highlight w:val="yellow"/>
        </w:rPr>
        <w:t>The HUD CoC Program Interim Rule clarifies that the imminent threat of harm must be from further domestic violence, dating violence, sexual assault, or staking, which would include threats from a third party, such as a friend or family member of the perpetrator of the violence.</w:t>
      </w:r>
    </w:p>
    <w:p w14:paraId="615EC995" w14:textId="77777777" w:rsidR="00AF7381" w:rsidRPr="00AF7381" w:rsidRDefault="00AF7381" w:rsidP="00AF7381">
      <w:pPr>
        <w:jc w:val="both"/>
        <w:rPr>
          <w:highlight w:val="yellow"/>
        </w:rPr>
      </w:pPr>
    </w:p>
    <w:p w14:paraId="0C68524B" w14:textId="77777777" w:rsidR="00AF7381" w:rsidRPr="00AF7381" w:rsidRDefault="00AF7381" w:rsidP="00AF7381">
      <w:pPr>
        <w:jc w:val="both"/>
        <w:rPr>
          <w:highlight w:val="yellow"/>
        </w:rPr>
      </w:pPr>
      <w:r w:rsidRPr="00AF7381">
        <w:rPr>
          <w:highlight w:val="yellow"/>
        </w:rPr>
        <w:t xml:space="preserve">The CSCoC access process ensures the safety of households who are fleeing, or attempting to flee, domestic violence (as well as dating violence, sexual assault, trafficking, or stalking).  The CSCoC and ESG Program rules provide several safeguards and exceptions to using coordinated entry for victims of domestic violence, dating violence, sexual assault, and stalking.  The ESG Program rule does not require ESG-funded victim service providers to use HMIS but allows them to do so.  The CSCoC Program does not require CSCoC-funded victim service providers to use HMIS, as they may use an alternative coordinated entry process for victim service providers (that meets all HUD requirements for coordinated entry).  </w:t>
      </w:r>
    </w:p>
    <w:p w14:paraId="1929AFB6" w14:textId="77777777" w:rsidR="00AF7381" w:rsidRPr="00AF7381" w:rsidRDefault="00AF7381" w:rsidP="00AF7381">
      <w:pPr>
        <w:jc w:val="both"/>
        <w:rPr>
          <w:highlight w:val="yellow"/>
        </w:rPr>
      </w:pPr>
    </w:p>
    <w:p w14:paraId="6F468FE3" w14:textId="77777777" w:rsidR="00AF7381" w:rsidRPr="0058586C" w:rsidRDefault="00AF7381" w:rsidP="00AF7381">
      <w:pPr>
        <w:pStyle w:val="Heading2"/>
        <w:rPr>
          <w:color w:val="0070C0"/>
          <w:highlight w:val="yellow"/>
        </w:rPr>
      </w:pPr>
      <w:bookmarkStart w:id="104" w:name="_Toc34043220"/>
      <w:bookmarkStart w:id="105" w:name="_Toc124255021"/>
      <w:r w:rsidRPr="0058586C">
        <w:rPr>
          <w:color w:val="0070C0"/>
          <w:highlight w:val="yellow"/>
        </w:rPr>
        <w:t>Privacy and Data Security Protections</w:t>
      </w:r>
      <w:bookmarkEnd w:id="104"/>
      <w:bookmarkEnd w:id="105"/>
    </w:p>
    <w:p w14:paraId="010AEF34" w14:textId="77777777" w:rsidR="00AF7381" w:rsidRPr="00AF7381" w:rsidRDefault="00AF7381" w:rsidP="00AF7381">
      <w:pPr>
        <w:jc w:val="both"/>
        <w:rPr>
          <w:highlight w:val="yellow"/>
        </w:rPr>
      </w:pPr>
      <w:r w:rsidRPr="00AF7381">
        <w:rPr>
          <w:highlight w:val="yellow"/>
        </w:rPr>
        <w:t xml:space="preserve">The coordinated entry process ensures adequate privacy protections are extended to and enforced for all participants from the first point of access, through assessment and prioritization, and after participants have been offered permanent housing and even exited CSCoC </w:t>
      </w:r>
      <w:r w:rsidRPr="00AF7381">
        <w:rPr>
          <w:highlight w:val="yellow"/>
        </w:rPr>
        <w:lastRenderedPageBreak/>
        <w:t>projects.  Collecting and sharing household’s personal protected information is often a necessary aspect of helping households to resolve their housing crisis.  However, the collection and disclosure of participant data among CSCoC service providers affiliated with the coordinated entry process is always managed in a manner that ensures privacy, provides participants choice about what and how to share their information, and does not result in repercussions when participants decide not to disclose or share data.</w:t>
      </w:r>
    </w:p>
    <w:p w14:paraId="1B875B8F" w14:textId="77777777" w:rsidR="00AF7381" w:rsidRPr="00AF7381" w:rsidRDefault="00AF7381" w:rsidP="00AF7381">
      <w:pPr>
        <w:jc w:val="both"/>
        <w:rPr>
          <w:highlight w:val="yellow"/>
        </w:rPr>
      </w:pPr>
    </w:p>
    <w:p w14:paraId="32D0433C" w14:textId="77777777" w:rsidR="00AF7381" w:rsidRPr="00AF7381" w:rsidRDefault="00AF7381" w:rsidP="00AF7381">
      <w:pPr>
        <w:jc w:val="both"/>
        <w:rPr>
          <w:highlight w:val="yellow"/>
        </w:rPr>
      </w:pPr>
      <w:r w:rsidRPr="00AF7381">
        <w:rPr>
          <w:highlight w:val="yellow"/>
        </w:rPr>
        <w:t xml:space="preserve">Maintaining the confidentiality of participants’ sensitive information is an important way of gaining trust from project participants and ensuring vulnerable populations are protected from potential harm resulting from the collection and disclosure of sensitive information about their lives. </w:t>
      </w:r>
    </w:p>
    <w:p w14:paraId="7AB0224F" w14:textId="77777777" w:rsidR="00AF7381" w:rsidRPr="00AF7381" w:rsidRDefault="00AF7381" w:rsidP="00AF7381">
      <w:pPr>
        <w:jc w:val="both"/>
        <w:rPr>
          <w:highlight w:val="yellow"/>
        </w:rPr>
      </w:pPr>
    </w:p>
    <w:p w14:paraId="52211A29" w14:textId="77777777" w:rsidR="00AF7381" w:rsidRPr="0058586C" w:rsidRDefault="00AF7381" w:rsidP="00AF7381">
      <w:pPr>
        <w:pStyle w:val="Heading2"/>
        <w:rPr>
          <w:color w:val="0070C0"/>
          <w:highlight w:val="yellow"/>
        </w:rPr>
      </w:pPr>
      <w:bookmarkStart w:id="106" w:name="_Toc34043221"/>
      <w:bookmarkStart w:id="107" w:name="_Toc124255022"/>
      <w:r w:rsidRPr="0058586C">
        <w:rPr>
          <w:color w:val="0070C0"/>
          <w:highlight w:val="yellow"/>
        </w:rPr>
        <w:t>Documentation</w:t>
      </w:r>
      <w:bookmarkEnd w:id="106"/>
      <w:bookmarkEnd w:id="107"/>
    </w:p>
    <w:p w14:paraId="5AF576E0" w14:textId="77777777" w:rsidR="00AF7381" w:rsidRPr="00AF7381" w:rsidRDefault="00AF7381" w:rsidP="00AF7381">
      <w:pPr>
        <w:jc w:val="both"/>
        <w:rPr>
          <w:highlight w:val="yellow"/>
        </w:rPr>
      </w:pPr>
      <w:r w:rsidRPr="00AF7381">
        <w:rPr>
          <w:highlight w:val="yellow"/>
        </w:rPr>
        <w:t>CSCoC program households in Category 4, not wanting to participate in the domestic violence process, are required to provide appropriate documentation of the original incident of domestic violence, dating violence, sexual assault, or stalking, and any evidence of the current imminent threat of harm.  See 24 CFR § 578.103(a)(5).</w:t>
      </w:r>
    </w:p>
    <w:p w14:paraId="15DE635E" w14:textId="77777777" w:rsidR="00AF7381" w:rsidRPr="00AF7381" w:rsidRDefault="00AF7381" w:rsidP="00AF7381">
      <w:pPr>
        <w:jc w:val="both"/>
        <w:rPr>
          <w:highlight w:val="yellow"/>
        </w:rPr>
      </w:pPr>
    </w:p>
    <w:p w14:paraId="0F96C785" w14:textId="77777777" w:rsidR="00AF7381" w:rsidRPr="00AF7381" w:rsidRDefault="00AF7381" w:rsidP="00AF7381">
      <w:pPr>
        <w:spacing w:before="120" w:after="120"/>
        <w:jc w:val="both"/>
        <w:rPr>
          <w:highlight w:val="yellow"/>
          <w:u w:val="single"/>
        </w:rPr>
      </w:pPr>
      <w:r w:rsidRPr="00AF7381">
        <w:rPr>
          <w:highlight w:val="yellow"/>
          <w:u w:val="single"/>
        </w:rPr>
        <w:t>Personally Identifiable Information</w:t>
      </w:r>
    </w:p>
    <w:p w14:paraId="2670FFE7" w14:textId="77777777" w:rsidR="00AF7381" w:rsidRPr="00AF7381" w:rsidRDefault="00AF7381" w:rsidP="00AF7381">
      <w:pPr>
        <w:jc w:val="both"/>
        <w:rPr>
          <w:highlight w:val="yellow"/>
        </w:rPr>
      </w:pPr>
      <w:r w:rsidRPr="00AF7381">
        <w:rPr>
          <w:highlight w:val="yellow"/>
        </w:rPr>
        <w:t>CSCoC member agency and program must obtain household consent to share and store personal information on HMIS.  No households are ever denied services if they refuse to sign the HMIS Consent Form or if they refuse consent during the CES initial intake.  PSH households must provide personally identifiable information as a condition of that specific placement option.  All HMIS users assisting with CES are informed of and understand the privacy rules associated with collection, management, and reporting of household data (see HMIS Policies and Procedures).</w:t>
      </w:r>
    </w:p>
    <w:p w14:paraId="5815F870" w14:textId="77777777" w:rsidR="00AF7381" w:rsidRPr="00AF7381" w:rsidRDefault="00AF7381" w:rsidP="00AF7381">
      <w:pPr>
        <w:jc w:val="both"/>
        <w:rPr>
          <w:b/>
          <w:bCs/>
          <w:highlight w:val="yellow"/>
        </w:rPr>
      </w:pPr>
    </w:p>
    <w:p w14:paraId="5DE8D161" w14:textId="77777777" w:rsidR="00AF7381" w:rsidRPr="00AF7381" w:rsidRDefault="00AF7381" w:rsidP="00AF7381">
      <w:pPr>
        <w:jc w:val="both"/>
        <w:rPr>
          <w:highlight w:val="yellow"/>
        </w:rPr>
      </w:pPr>
      <w:r w:rsidRPr="00AF7381">
        <w:rPr>
          <w:highlight w:val="yellow"/>
        </w:rPr>
        <w:t>The CSCoC requires that records containing personally identifiable information be kept secure and confidential and the address of any family violence project not be made public.  The CSCoC records are kept secure and confidential.</w:t>
      </w:r>
    </w:p>
    <w:p w14:paraId="47B55745" w14:textId="77777777" w:rsidR="00AF7381" w:rsidRPr="00AF7381" w:rsidRDefault="00AF7381" w:rsidP="00AF7381">
      <w:pPr>
        <w:jc w:val="both"/>
        <w:rPr>
          <w:b/>
          <w:bCs/>
          <w:highlight w:val="yellow"/>
        </w:rPr>
      </w:pPr>
    </w:p>
    <w:p w14:paraId="12E1D486" w14:textId="77777777" w:rsidR="00AF7381" w:rsidRPr="0058586C" w:rsidRDefault="00AF7381" w:rsidP="00AF7381">
      <w:pPr>
        <w:pStyle w:val="Heading2"/>
        <w:rPr>
          <w:color w:val="0070C0"/>
          <w:highlight w:val="yellow"/>
        </w:rPr>
      </w:pPr>
      <w:bookmarkStart w:id="108" w:name="_Toc34043222"/>
      <w:bookmarkStart w:id="109" w:name="_Toc124255023"/>
      <w:r w:rsidRPr="0058586C">
        <w:rPr>
          <w:color w:val="0070C0"/>
          <w:highlight w:val="yellow"/>
        </w:rPr>
        <w:t>System Entry</w:t>
      </w:r>
      <w:bookmarkEnd w:id="108"/>
      <w:bookmarkEnd w:id="109"/>
    </w:p>
    <w:p w14:paraId="7CA2E614" w14:textId="77777777" w:rsidR="00AF7381" w:rsidRPr="00AF7381" w:rsidRDefault="00AF7381" w:rsidP="00AF7381">
      <w:pPr>
        <w:rPr>
          <w:highlight w:val="yellow"/>
          <w:u w:val="single"/>
        </w:rPr>
      </w:pPr>
      <w:r w:rsidRPr="00AF7381">
        <w:rPr>
          <w:highlight w:val="yellow"/>
          <w:u w:val="single"/>
        </w:rPr>
        <w:t>Separate Access Point</w:t>
      </w:r>
    </w:p>
    <w:p w14:paraId="10617F76" w14:textId="24AC6EDC" w:rsidR="00AF7381" w:rsidRPr="00AF7381" w:rsidRDefault="00AF7381" w:rsidP="00AF7381">
      <w:pPr>
        <w:jc w:val="both"/>
        <w:rPr>
          <w:highlight w:val="yellow"/>
        </w:rPr>
      </w:pPr>
      <w:r w:rsidRPr="00AF7381">
        <w:rPr>
          <w:highlight w:val="yellow"/>
        </w:rPr>
        <w:t xml:space="preserve">At the time of the publishing of these </w:t>
      </w:r>
      <w:r w:rsidR="00CF123B">
        <w:rPr>
          <w:highlight w:val="yellow"/>
        </w:rPr>
        <w:t>Written Standards</w:t>
      </w:r>
      <w:r w:rsidRPr="00AF7381">
        <w:rPr>
          <w:highlight w:val="yellow"/>
        </w:rPr>
        <w:t>, the CSCoC chooses not to create a separate access point for victims of domestic violence.</w:t>
      </w:r>
    </w:p>
    <w:p w14:paraId="07637E74" w14:textId="77777777" w:rsidR="00AF7381" w:rsidRPr="00AF7381" w:rsidRDefault="00AF7381" w:rsidP="00AF7381">
      <w:pPr>
        <w:jc w:val="both"/>
        <w:rPr>
          <w:highlight w:val="yellow"/>
        </w:rPr>
      </w:pPr>
    </w:p>
    <w:p w14:paraId="0EF6DE8B" w14:textId="77777777" w:rsidR="00AF7381" w:rsidRPr="00AF7381" w:rsidRDefault="00AF7381" w:rsidP="00AF7381">
      <w:pPr>
        <w:rPr>
          <w:highlight w:val="yellow"/>
          <w:u w:val="single"/>
        </w:rPr>
      </w:pPr>
      <w:r w:rsidRPr="00AF7381">
        <w:rPr>
          <w:highlight w:val="yellow"/>
          <w:u w:val="single"/>
        </w:rPr>
        <w:t>Pre-Screening Determination</w:t>
      </w:r>
    </w:p>
    <w:p w14:paraId="2FC42907" w14:textId="77777777" w:rsidR="00AF7381" w:rsidRPr="00AF7381" w:rsidRDefault="00AF7381" w:rsidP="00AF7381">
      <w:pPr>
        <w:jc w:val="both"/>
        <w:rPr>
          <w:highlight w:val="yellow"/>
        </w:rPr>
      </w:pPr>
      <w:r w:rsidRPr="00AF7381">
        <w:rPr>
          <w:highlight w:val="yellow"/>
        </w:rPr>
        <w:t xml:space="preserve">When a household presents at a System Entry Point, the head of the household shall be asked several pre-screen questions to determine, among other aspects of the household’s status, whether the household is fleeing domestic violence.  If the household answers in a way that suggests that the household is fleeing domestic violence, then Entry Point service provider shall call a local domestic violence </w:t>
      </w:r>
      <w:r w:rsidRPr="00AF7381">
        <w:rPr>
          <w:highlight w:val="yellow"/>
        </w:rPr>
        <w:lastRenderedPageBreak/>
        <w:t>hotline with the victim household so that the hotline service provider can proceed with coordinated entry assessment and data entry according to the practices kept by the receiving victim service provider.</w:t>
      </w:r>
    </w:p>
    <w:p w14:paraId="1366C3AB" w14:textId="77777777" w:rsidR="00AF7381" w:rsidRPr="00AF7381" w:rsidRDefault="00AF7381" w:rsidP="00AF7381">
      <w:pPr>
        <w:jc w:val="both"/>
        <w:rPr>
          <w:highlight w:val="yellow"/>
        </w:rPr>
      </w:pPr>
    </w:p>
    <w:p w14:paraId="686D2D98" w14:textId="77777777" w:rsidR="00AF7381" w:rsidRPr="00AF7381" w:rsidRDefault="00AF7381" w:rsidP="00AF7381">
      <w:pPr>
        <w:jc w:val="both"/>
        <w:rPr>
          <w:highlight w:val="yellow"/>
        </w:rPr>
      </w:pPr>
      <w:r w:rsidRPr="00AF7381">
        <w:rPr>
          <w:highlight w:val="yellow"/>
        </w:rPr>
        <w:t>Eligibility determination is incorporated into the coordinated entry process in various ways:</w:t>
      </w:r>
    </w:p>
    <w:p w14:paraId="3F7AFC15" w14:textId="77777777" w:rsidR="00AF7381" w:rsidRPr="00AF7381" w:rsidRDefault="00AF7381">
      <w:pPr>
        <w:pStyle w:val="ListParagraph"/>
        <w:numPr>
          <w:ilvl w:val="0"/>
          <w:numId w:val="176"/>
        </w:numPr>
        <w:spacing w:after="120"/>
        <w:contextualSpacing w:val="0"/>
        <w:jc w:val="both"/>
        <w:rPr>
          <w:highlight w:val="yellow"/>
        </w:rPr>
      </w:pPr>
      <w:r w:rsidRPr="00AF7381">
        <w:rPr>
          <w:highlight w:val="yellow"/>
        </w:rPr>
        <w:t>The assessment process might presumptively determine eligibility for housing and supportive services.  In such cases, receiving projects can be required to accept the referral regardless of the household’s past history or other factors.</w:t>
      </w:r>
    </w:p>
    <w:p w14:paraId="6C257FA0" w14:textId="77777777" w:rsidR="00AF7381" w:rsidRPr="00AF7381" w:rsidRDefault="00AF7381">
      <w:pPr>
        <w:pStyle w:val="ListParagraph"/>
        <w:numPr>
          <w:ilvl w:val="0"/>
          <w:numId w:val="176"/>
        </w:numPr>
        <w:spacing w:after="120"/>
        <w:contextualSpacing w:val="0"/>
        <w:jc w:val="both"/>
        <w:rPr>
          <w:highlight w:val="yellow"/>
        </w:rPr>
      </w:pPr>
      <w:r w:rsidRPr="00AF7381">
        <w:rPr>
          <w:highlight w:val="yellow"/>
        </w:rPr>
        <w:t>Eligibility might be presumed during assessment as highly likely, but actual eligibility is not documented until the household is being enrolled in the receiving project.  Eligibility then is verified through project-specific verification requirements and processes.</w:t>
      </w:r>
    </w:p>
    <w:p w14:paraId="759E20B2" w14:textId="77777777" w:rsidR="00AF7381" w:rsidRPr="00AF7381" w:rsidRDefault="00AF7381">
      <w:pPr>
        <w:pStyle w:val="ListParagraph"/>
        <w:numPr>
          <w:ilvl w:val="0"/>
          <w:numId w:val="176"/>
        </w:numPr>
        <w:contextualSpacing w:val="0"/>
        <w:jc w:val="both"/>
        <w:rPr>
          <w:highlight w:val="yellow"/>
        </w:rPr>
      </w:pPr>
      <w:r w:rsidRPr="00AF7381">
        <w:rPr>
          <w:highlight w:val="yellow"/>
        </w:rPr>
        <w:t>Collection of documents to determine eligibility might be ongoing, starting at initial triage and building over time as more in-depth assessments are completed as needed.  In these instances, documentation and eligibility might be initially determined, but would need to be re-established at the point of project entry, especially if a long period of time has passed between assessment and project entry.</w:t>
      </w:r>
    </w:p>
    <w:p w14:paraId="4E594B5E" w14:textId="77777777" w:rsidR="00AF7381" w:rsidRPr="00AF7381" w:rsidRDefault="00AF7381">
      <w:pPr>
        <w:pStyle w:val="ListParagraph"/>
        <w:numPr>
          <w:ilvl w:val="0"/>
          <w:numId w:val="176"/>
        </w:numPr>
        <w:contextualSpacing w:val="0"/>
        <w:jc w:val="both"/>
        <w:rPr>
          <w:highlight w:val="yellow"/>
        </w:rPr>
      </w:pPr>
    </w:p>
    <w:p w14:paraId="52AD34FB" w14:textId="77777777" w:rsidR="00AF7381" w:rsidRPr="00AF7381" w:rsidRDefault="00AF7381" w:rsidP="00AF7381">
      <w:pPr>
        <w:rPr>
          <w:highlight w:val="yellow"/>
          <w:u w:val="single"/>
        </w:rPr>
      </w:pPr>
      <w:r w:rsidRPr="00AF7381">
        <w:rPr>
          <w:highlight w:val="yellow"/>
          <w:u w:val="single"/>
        </w:rPr>
        <w:t>Immediate Access to Emergency Services</w:t>
      </w:r>
    </w:p>
    <w:p w14:paraId="59D6673C" w14:textId="77777777" w:rsidR="00AF7381" w:rsidRPr="00AF7381" w:rsidRDefault="00AF7381" w:rsidP="00AF7381">
      <w:pPr>
        <w:jc w:val="both"/>
        <w:rPr>
          <w:highlight w:val="yellow"/>
        </w:rPr>
      </w:pPr>
      <w:r w:rsidRPr="00AF7381">
        <w:rPr>
          <w:highlight w:val="yellow"/>
        </w:rPr>
        <w:t>If pre-screen questions suggest that the household wishes to be connected to emergency services, the Entry Point provides the household immediate access to the contact information for an appropriate emergency services provider, as well as arrange transportation for the household to the emergency services provider, as quickly as possible.  The Entry Point shall, without transmitting any personally identifiable information, notify the local domestic violence hotline of the pre-screening interview and transfer to the emergency services provider within 24 hours of the exchange with the household.</w:t>
      </w:r>
    </w:p>
    <w:p w14:paraId="114351C6" w14:textId="77777777" w:rsidR="00AF7381" w:rsidRPr="00AF7381" w:rsidRDefault="00AF7381" w:rsidP="00AF7381">
      <w:pPr>
        <w:jc w:val="both"/>
        <w:rPr>
          <w:highlight w:val="yellow"/>
        </w:rPr>
      </w:pPr>
    </w:p>
    <w:p w14:paraId="5EA4DEC3" w14:textId="77777777" w:rsidR="00AF7381" w:rsidRPr="0058586C" w:rsidRDefault="00AF7381" w:rsidP="00AF7381">
      <w:pPr>
        <w:pStyle w:val="Heading2"/>
        <w:rPr>
          <w:color w:val="0070C0"/>
          <w:highlight w:val="yellow"/>
        </w:rPr>
      </w:pPr>
      <w:bookmarkStart w:id="110" w:name="_Toc34043223"/>
      <w:bookmarkStart w:id="111" w:name="_Toc124255024"/>
      <w:r w:rsidRPr="0058586C">
        <w:rPr>
          <w:color w:val="0070C0"/>
          <w:highlight w:val="yellow"/>
        </w:rPr>
        <w:t>Assessment</w:t>
      </w:r>
      <w:bookmarkEnd w:id="110"/>
      <w:bookmarkEnd w:id="111"/>
    </w:p>
    <w:p w14:paraId="7602C3C4" w14:textId="09485835" w:rsidR="00AF7381" w:rsidRPr="00AF7381" w:rsidRDefault="00AF7381" w:rsidP="00AF7381">
      <w:pPr>
        <w:jc w:val="both"/>
        <w:rPr>
          <w:highlight w:val="yellow"/>
        </w:rPr>
      </w:pPr>
      <w:r w:rsidRPr="00AF7381">
        <w:rPr>
          <w:highlight w:val="yellow"/>
        </w:rPr>
        <w:t xml:space="preserve">At the time of the publishing of these </w:t>
      </w:r>
      <w:r w:rsidR="00CF123B">
        <w:rPr>
          <w:highlight w:val="yellow"/>
        </w:rPr>
        <w:t>Written Standards</w:t>
      </w:r>
      <w:r w:rsidRPr="00AF7381">
        <w:rPr>
          <w:highlight w:val="yellow"/>
        </w:rPr>
        <w:t>, there are no victim services providers in the CSCoC service area who receive CSCoC funds.  As such, should a victim of domestic violence choose to access the CES for access to housing and supportive services, a victim service provider shall use the Modified VI-SPDAT to assess that victim household.</w:t>
      </w:r>
    </w:p>
    <w:p w14:paraId="631D29BE" w14:textId="77777777" w:rsidR="00AF7381" w:rsidRPr="00AF7381" w:rsidRDefault="00AF7381" w:rsidP="00AF7381">
      <w:pPr>
        <w:jc w:val="both"/>
        <w:rPr>
          <w:highlight w:val="yellow"/>
        </w:rPr>
      </w:pPr>
    </w:p>
    <w:p w14:paraId="70D73B75" w14:textId="77777777" w:rsidR="00AF7381" w:rsidRPr="00AF7381" w:rsidRDefault="00AF7381" w:rsidP="00AF7381">
      <w:pPr>
        <w:jc w:val="both"/>
        <w:rPr>
          <w:highlight w:val="yellow"/>
          <w:u w:val="single"/>
        </w:rPr>
      </w:pPr>
      <w:r w:rsidRPr="00AF7381">
        <w:rPr>
          <w:highlight w:val="yellow"/>
          <w:u w:val="single"/>
        </w:rPr>
        <w:t>HMIS Data Entry</w:t>
      </w:r>
    </w:p>
    <w:p w14:paraId="0C10E4C1" w14:textId="77777777" w:rsidR="00AF7381" w:rsidRPr="00AF7381" w:rsidRDefault="00AF7381" w:rsidP="00AF7381">
      <w:pPr>
        <w:jc w:val="both"/>
        <w:rPr>
          <w:highlight w:val="yellow"/>
        </w:rPr>
      </w:pPr>
      <w:r w:rsidRPr="00AF7381">
        <w:rPr>
          <w:highlight w:val="yellow"/>
        </w:rPr>
        <w:t>Sharing of data after the initial assessment or phone consent will consist of a referral to the appropriate agency or program for assistance.  If the appropriate agency or program does not utilize HMIS, the referral must be sent via fax.</w:t>
      </w:r>
    </w:p>
    <w:p w14:paraId="7F246D4B" w14:textId="77777777" w:rsidR="00AF7381" w:rsidRPr="00AF7381" w:rsidRDefault="00AF7381" w:rsidP="00AF7381">
      <w:pPr>
        <w:jc w:val="both"/>
        <w:rPr>
          <w:highlight w:val="yellow"/>
        </w:rPr>
      </w:pPr>
    </w:p>
    <w:p w14:paraId="3381C464" w14:textId="77777777" w:rsidR="00AF7381" w:rsidRPr="00AF7381" w:rsidRDefault="00AF7381" w:rsidP="00AF7381">
      <w:pPr>
        <w:jc w:val="both"/>
        <w:rPr>
          <w:highlight w:val="yellow"/>
        </w:rPr>
      </w:pPr>
      <w:r w:rsidRPr="00AF7381">
        <w:rPr>
          <w:highlight w:val="yellow"/>
        </w:rPr>
        <w:t>Under the Violence Against Women Act, victim service providers are prohibited from entering household-level data into HMIS.</w:t>
      </w:r>
    </w:p>
    <w:p w14:paraId="14580AC5" w14:textId="77777777" w:rsidR="00AF7381" w:rsidRPr="00AF7381" w:rsidRDefault="00AF7381" w:rsidP="00AF7381">
      <w:pPr>
        <w:jc w:val="both"/>
        <w:rPr>
          <w:highlight w:val="yellow"/>
        </w:rPr>
      </w:pPr>
    </w:p>
    <w:p w14:paraId="10A1E443" w14:textId="77777777" w:rsidR="00AF7381" w:rsidRPr="00AF7381" w:rsidRDefault="00AF7381" w:rsidP="00AF7381">
      <w:pPr>
        <w:jc w:val="both"/>
        <w:rPr>
          <w:highlight w:val="yellow"/>
          <w:u w:val="single"/>
        </w:rPr>
      </w:pPr>
      <w:r w:rsidRPr="00AF7381">
        <w:rPr>
          <w:highlight w:val="yellow"/>
          <w:u w:val="single"/>
        </w:rPr>
        <w:t>Consent to HMIS Data Entry</w:t>
      </w:r>
    </w:p>
    <w:p w14:paraId="2DBE96C3" w14:textId="77777777" w:rsidR="00AF7381" w:rsidRPr="00AF7381" w:rsidRDefault="00AF7381" w:rsidP="00AF7381">
      <w:pPr>
        <w:jc w:val="both"/>
        <w:rPr>
          <w:highlight w:val="yellow"/>
        </w:rPr>
      </w:pPr>
      <w:r w:rsidRPr="00AF7381">
        <w:rPr>
          <w:highlight w:val="yellow"/>
        </w:rPr>
        <w:lastRenderedPageBreak/>
        <w:t>Households are requested to provide their verbal consent at CES intake.  The Housing Service Provider entering the household’s information into the CES must check the box that verifies the household’s right to consent to their information being entered into HMIS.</w:t>
      </w:r>
    </w:p>
    <w:p w14:paraId="03AA8811" w14:textId="77777777" w:rsidR="00AF7381" w:rsidRPr="00AF7381" w:rsidRDefault="00AF7381" w:rsidP="00AF7381">
      <w:pPr>
        <w:jc w:val="both"/>
        <w:rPr>
          <w:highlight w:val="yellow"/>
        </w:rPr>
      </w:pPr>
    </w:p>
    <w:p w14:paraId="4032A3C1" w14:textId="77777777" w:rsidR="00AF7381" w:rsidRPr="00AF7381" w:rsidRDefault="00AF7381" w:rsidP="00AF7381">
      <w:pPr>
        <w:jc w:val="both"/>
        <w:rPr>
          <w:highlight w:val="yellow"/>
        </w:rPr>
      </w:pPr>
      <w:r w:rsidRPr="00AF7381">
        <w:rPr>
          <w:highlight w:val="yellow"/>
        </w:rPr>
        <w:t>If a victim household chooses to be enrolled in a CSCoC or ESG-funded non-victim services provider program, that victim must be asked to sign a Release of Information form to consent to having personally identifiable information entered into HMIS.</w:t>
      </w:r>
    </w:p>
    <w:p w14:paraId="71C10A10" w14:textId="77777777" w:rsidR="00AF7381" w:rsidRPr="00AF7381" w:rsidRDefault="00AF7381" w:rsidP="00AF7381">
      <w:pPr>
        <w:spacing w:before="240"/>
        <w:rPr>
          <w:highlight w:val="yellow"/>
          <w:u w:val="single"/>
        </w:rPr>
      </w:pPr>
      <w:r w:rsidRPr="00AF7381">
        <w:rPr>
          <w:highlight w:val="yellow"/>
          <w:u w:val="single"/>
        </w:rPr>
        <w:t>Refusal to Have Information Entered Into HMIS</w:t>
      </w:r>
    </w:p>
    <w:p w14:paraId="15ABF7AF" w14:textId="77777777" w:rsidR="00AF7381" w:rsidRPr="00AF7381" w:rsidRDefault="00AF7381" w:rsidP="00AF7381">
      <w:pPr>
        <w:jc w:val="both"/>
        <w:rPr>
          <w:highlight w:val="yellow"/>
        </w:rPr>
      </w:pPr>
      <w:r w:rsidRPr="00AF7381">
        <w:rPr>
          <w:highlight w:val="yellow"/>
        </w:rPr>
        <w:t xml:space="preserve">If the household refuses consent, the Housing Service Provider must explain how this may affect the household’s placement on the prioritization list and their waiting time for housing.  </w:t>
      </w:r>
    </w:p>
    <w:p w14:paraId="0149AF66" w14:textId="77777777" w:rsidR="00AF7381" w:rsidRPr="00AF7381" w:rsidRDefault="00AF7381" w:rsidP="00AF7381">
      <w:pPr>
        <w:jc w:val="both"/>
        <w:rPr>
          <w:highlight w:val="yellow"/>
        </w:rPr>
      </w:pPr>
    </w:p>
    <w:p w14:paraId="02DA7FBA" w14:textId="77777777" w:rsidR="00AF7381" w:rsidRPr="00AF7381" w:rsidRDefault="00AF7381" w:rsidP="00AF7381">
      <w:pPr>
        <w:jc w:val="both"/>
        <w:rPr>
          <w:highlight w:val="yellow"/>
        </w:rPr>
      </w:pPr>
      <w:r w:rsidRPr="00AF7381">
        <w:rPr>
          <w:highlight w:val="yellow"/>
        </w:rPr>
        <w:t>All households, regardless of their domestic violence status, have the right to refuse to share their information among service providers within the CSCoC.  However, some information may be required by the project, or by public or private funders to determine eligibility for housing or services, or to assess needed services, so it must be collected.  In cases where a household does not consent to having their information shared, the information must still be collected by the service providers to determine whether the household is eligible, but it must not be shared via the HMIS if the program participant objects.</w:t>
      </w:r>
    </w:p>
    <w:p w14:paraId="1362A15F" w14:textId="77777777" w:rsidR="00AF7381" w:rsidRPr="00AF7381" w:rsidRDefault="00AF7381" w:rsidP="00AF7381">
      <w:pPr>
        <w:spacing w:before="240"/>
        <w:rPr>
          <w:highlight w:val="yellow"/>
          <w:u w:val="single"/>
        </w:rPr>
      </w:pPr>
      <w:r w:rsidRPr="00AF7381">
        <w:rPr>
          <w:highlight w:val="yellow"/>
          <w:u w:val="single"/>
        </w:rPr>
        <w:t>Entry of Anonymous Modified VI-SPDAT Score for Prioritization</w:t>
      </w:r>
    </w:p>
    <w:p w14:paraId="49D56B39" w14:textId="77777777" w:rsidR="00AF7381" w:rsidRPr="00AF7381" w:rsidRDefault="00AF7381" w:rsidP="00AF7381">
      <w:pPr>
        <w:jc w:val="both"/>
        <w:rPr>
          <w:highlight w:val="yellow"/>
        </w:rPr>
      </w:pPr>
      <w:r w:rsidRPr="00AF7381">
        <w:rPr>
          <w:highlight w:val="yellow"/>
        </w:rPr>
        <w:t>Regardless of the extent to which a victim of domestic violence consents to having their information entered into HMIS, CES Operator service provider shall ensure that a victim of domestic violence’s Modified VI-SPDAT score is entered into HMIS under an anonymous record so that the victim can be placed.</w:t>
      </w:r>
    </w:p>
    <w:p w14:paraId="1B7F539F" w14:textId="77777777" w:rsidR="00AF7381" w:rsidRPr="00AF7381" w:rsidRDefault="00AF7381" w:rsidP="00AF7381">
      <w:pPr>
        <w:jc w:val="both"/>
        <w:rPr>
          <w:highlight w:val="yellow"/>
        </w:rPr>
      </w:pPr>
    </w:p>
    <w:p w14:paraId="7EB7B7C0" w14:textId="77777777" w:rsidR="00AF7381" w:rsidRPr="0058586C" w:rsidRDefault="00AF7381" w:rsidP="00AF7381">
      <w:pPr>
        <w:pStyle w:val="Heading2"/>
        <w:rPr>
          <w:color w:val="0070C0"/>
          <w:highlight w:val="yellow"/>
        </w:rPr>
      </w:pPr>
      <w:bookmarkStart w:id="112" w:name="_Toc34043224"/>
      <w:bookmarkStart w:id="113" w:name="_Toc124255025"/>
      <w:r w:rsidRPr="0058586C">
        <w:rPr>
          <w:color w:val="0070C0"/>
          <w:highlight w:val="yellow"/>
        </w:rPr>
        <w:t>Prioritization</w:t>
      </w:r>
      <w:bookmarkEnd w:id="112"/>
      <w:bookmarkEnd w:id="113"/>
    </w:p>
    <w:p w14:paraId="69113B68" w14:textId="77777777" w:rsidR="00AF7381" w:rsidRPr="00AF7381" w:rsidRDefault="00AF7381" w:rsidP="00AF7381">
      <w:pPr>
        <w:jc w:val="both"/>
        <w:rPr>
          <w:highlight w:val="yellow"/>
        </w:rPr>
      </w:pPr>
      <w:r w:rsidRPr="00AF7381">
        <w:rPr>
          <w:highlight w:val="yellow"/>
        </w:rPr>
        <w:t>Victim households fleeing domestic violence shall be prioritized according to the prioritization protocols described for all other subpopulations.  Service providers who conducted the assessment of a victim shall be informed by CES service provider when one of these anonymous victim’s records rises to the top ten spots in a prioritization queue.</w:t>
      </w:r>
    </w:p>
    <w:p w14:paraId="5520EBF5" w14:textId="77777777" w:rsidR="00AF7381" w:rsidRPr="00AF7381" w:rsidRDefault="00AF7381" w:rsidP="00AF7381">
      <w:pPr>
        <w:jc w:val="both"/>
        <w:rPr>
          <w:highlight w:val="yellow"/>
        </w:rPr>
      </w:pPr>
    </w:p>
    <w:p w14:paraId="6B08F469" w14:textId="77777777" w:rsidR="00AF7381" w:rsidRPr="0058586C" w:rsidRDefault="00AF7381" w:rsidP="00AF7381">
      <w:pPr>
        <w:pStyle w:val="Heading2"/>
        <w:rPr>
          <w:color w:val="0070C0"/>
          <w:highlight w:val="yellow"/>
        </w:rPr>
      </w:pPr>
      <w:bookmarkStart w:id="114" w:name="_Toc34043225"/>
      <w:bookmarkStart w:id="115" w:name="_Toc124255026"/>
      <w:r w:rsidRPr="0058586C">
        <w:rPr>
          <w:color w:val="0070C0"/>
          <w:highlight w:val="yellow"/>
        </w:rPr>
        <w:t>Matching</w:t>
      </w:r>
      <w:bookmarkEnd w:id="114"/>
      <w:bookmarkEnd w:id="115"/>
    </w:p>
    <w:p w14:paraId="51955B40" w14:textId="77777777" w:rsidR="00AF7381" w:rsidRPr="00AF7381" w:rsidRDefault="00AF7381" w:rsidP="00AF7381">
      <w:pPr>
        <w:jc w:val="both"/>
        <w:rPr>
          <w:highlight w:val="yellow"/>
        </w:rPr>
      </w:pPr>
      <w:r w:rsidRPr="00AF7381">
        <w:rPr>
          <w:highlight w:val="yellow"/>
        </w:rPr>
        <w:t>Because victim information cannot be entered into HMIS, service providers who conducted the assessment of a victim household shall be called by CES service provider to participate in case conferencing meetings regarding the matching and referral of a victim in those discussions.</w:t>
      </w:r>
    </w:p>
    <w:p w14:paraId="69DA90DF" w14:textId="77777777" w:rsidR="00AF7381" w:rsidRPr="00AF7381" w:rsidRDefault="00AF7381" w:rsidP="00AF7381">
      <w:pPr>
        <w:jc w:val="both"/>
        <w:rPr>
          <w:highlight w:val="yellow"/>
        </w:rPr>
      </w:pPr>
    </w:p>
    <w:p w14:paraId="00F4A710" w14:textId="77777777" w:rsidR="00AF7381" w:rsidRPr="0058586C" w:rsidRDefault="00AF7381" w:rsidP="00AF7381">
      <w:pPr>
        <w:pStyle w:val="Heading2"/>
        <w:rPr>
          <w:color w:val="0070C0"/>
          <w:highlight w:val="yellow"/>
        </w:rPr>
      </w:pPr>
      <w:bookmarkStart w:id="116" w:name="_Toc34043226"/>
      <w:bookmarkStart w:id="117" w:name="_Toc124255027"/>
      <w:r w:rsidRPr="0058586C">
        <w:rPr>
          <w:color w:val="0070C0"/>
          <w:highlight w:val="yellow"/>
        </w:rPr>
        <w:t>Referral and Placement</w:t>
      </w:r>
      <w:bookmarkEnd w:id="116"/>
      <w:bookmarkEnd w:id="117"/>
    </w:p>
    <w:p w14:paraId="44B9C171" w14:textId="2EC126A0" w:rsidR="00AF7381" w:rsidRPr="00AF7381" w:rsidRDefault="00AF7381" w:rsidP="00AF7381">
      <w:pPr>
        <w:spacing w:after="120"/>
        <w:jc w:val="both"/>
        <w:rPr>
          <w:highlight w:val="yellow"/>
        </w:rPr>
      </w:pPr>
      <w:r w:rsidRPr="00AF7381">
        <w:rPr>
          <w:highlight w:val="yellow"/>
        </w:rPr>
        <w:t xml:space="preserve">At the time of the publishing of these </w:t>
      </w:r>
      <w:r w:rsidR="00CF123B">
        <w:rPr>
          <w:highlight w:val="yellow"/>
        </w:rPr>
        <w:t>Written Standards</w:t>
      </w:r>
      <w:r w:rsidRPr="00AF7381">
        <w:rPr>
          <w:highlight w:val="yellow"/>
        </w:rPr>
        <w:t xml:space="preserve">, there are no victim services providers in the CSCoC who receive CSCoC funds.  </w:t>
      </w:r>
    </w:p>
    <w:p w14:paraId="253EE179" w14:textId="77777777" w:rsidR="00AF7381" w:rsidRPr="00AF7381" w:rsidRDefault="00AF7381" w:rsidP="00AF7381">
      <w:pPr>
        <w:jc w:val="both"/>
        <w:rPr>
          <w:highlight w:val="yellow"/>
        </w:rPr>
      </w:pPr>
      <w:r w:rsidRPr="00AF7381">
        <w:rPr>
          <w:highlight w:val="yellow"/>
        </w:rPr>
        <w:lastRenderedPageBreak/>
        <w:t>Should a victim household be matched with a housing opportunity through the above process, the victim service provider who conducted the assessment of the victim household shall safely refer the household to the identified victim service provider, preferably with a warm hand-off including a phone call, transportation, or other transition determined to be a best practice by the victim service provider.</w:t>
      </w:r>
    </w:p>
    <w:p w14:paraId="785CA097" w14:textId="77777777" w:rsidR="00AF7381" w:rsidRPr="00AF7381" w:rsidRDefault="00AF7381" w:rsidP="00AF7381">
      <w:pPr>
        <w:jc w:val="both"/>
        <w:rPr>
          <w:highlight w:val="yellow"/>
        </w:rPr>
      </w:pPr>
    </w:p>
    <w:p w14:paraId="1489C58E" w14:textId="77777777" w:rsidR="00AF7381" w:rsidRPr="00AF7381" w:rsidRDefault="00AF7381" w:rsidP="00AF7381">
      <w:pPr>
        <w:rPr>
          <w:highlight w:val="yellow"/>
          <w:u w:val="single"/>
        </w:rPr>
      </w:pPr>
      <w:r w:rsidRPr="00AF7381">
        <w:rPr>
          <w:highlight w:val="yellow"/>
          <w:u w:val="single"/>
        </w:rPr>
        <w:t>Emergency Transfer Requests</w:t>
      </w:r>
    </w:p>
    <w:p w14:paraId="046CA671" w14:textId="5DAC6FEC" w:rsidR="00AF7381" w:rsidRPr="00AF7381" w:rsidRDefault="00AF7381" w:rsidP="00AF7381">
      <w:pPr>
        <w:jc w:val="both"/>
        <w:rPr>
          <w:highlight w:val="yellow"/>
        </w:rPr>
      </w:pPr>
      <w:r w:rsidRPr="00AF7381">
        <w:rPr>
          <w:highlight w:val="yellow"/>
        </w:rPr>
        <w:t xml:space="preserve">All participants in CES shall be informed of their right to file for an Emergency Transfer, per the HUD Final Rule 2016-2888, Violence Against Women Act Reauthorization of 2013; Implementation in HUD Housing Programs.  The CSCoC’s </w:t>
      </w:r>
      <w:r w:rsidR="00CF123B">
        <w:rPr>
          <w:highlight w:val="yellow"/>
        </w:rPr>
        <w:t xml:space="preserve">Written Standards </w:t>
      </w:r>
      <w:r w:rsidRPr="00AF7381">
        <w:rPr>
          <w:highlight w:val="yellow"/>
        </w:rPr>
        <w:t xml:space="preserve">contain the Emergency Transfer Plan.  Please see the Emergency Transfer Plan for Victims of Domestic Violence, Dating Violence, Sexual Assault, or Stalking; and Emergency Transfer Request Form for Certain Victims of Domestic Violence, Sexual Assault, or Stalking – included in these </w:t>
      </w:r>
      <w:r w:rsidR="00CF123B">
        <w:rPr>
          <w:highlight w:val="yellow"/>
        </w:rPr>
        <w:t>Written Standards</w:t>
      </w:r>
      <w:r w:rsidRPr="00AF7381">
        <w:rPr>
          <w:highlight w:val="yellow"/>
        </w:rPr>
        <w:t>.</w:t>
      </w:r>
    </w:p>
    <w:p w14:paraId="5739E5F6" w14:textId="77777777" w:rsidR="00AF7381" w:rsidRPr="00AF7381" w:rsidRDefault="00AF7381" w:rsidP="00AF7381">
      <w:pPr>
        <w:jc w:val="both"/>
        <w:rPr>
          <w:highlight w:val="yellow"/>
        </w:rPr>
      </w:pPr>
    </w:p>
    <w:p w14:paraId="73D6BF49" w14:textId="77777777" w:rsidR="00AF7381" w:rsidRPr="00AF7381" w:rsidRDefault="00AF7381" w:rsidP="00AF7381">
      <w:pPr>
        <w:rPr>
          <w:highlight w:val="yellow"/>
          <w:u w:val="single"/>
        </w:rPr>
      </w:pPr>
    </w:p>
    <w:p w14:paraId="107539A6" w14:textId="77777777" w:rsidR="00AF7381" w:rsidRPr="00AF7381" w:rsidRDefault="00AF7381" w:rsidP="00AF7381">
      <w:pPr>
        <w:rPr>
          <w:highlight w:val="yellow"/>
          <w:u w:val="single"/>
        </w:rPr>
      </w:pPr>
      <w:r w:rsidRPr="00AF7381">
        <w:rPr>
          <w:highlight w:val="yellow"/>
          <w:u w:val="single"/>
        </w:rPr>
        <w:t>Placement Outside the CSCoC: Tenant-Based Rental Assistance</w:t>
      </w:r>
    </w:p>
    <w:p w14:paraId="7C315EF5" w14:textId="77777777" w:rsidR="00AF7381" w:rsidRPr="00AF7381" w:rsidRDefault="00AF7381" w:rsidP="00AF7381">
      <w:pPr>
        <w:jc w:val="both"/>
        <w:rPr>
          <w:highlight w:val="yellow"/>
        </w:rPr>
      </w:pPr>
      <w:r w:rsidRPr="00AF7381">
        <w:rPr>
          <w:highlight w:val="yellow"/>
        </w:rPr>
        <w:t>A victim household of domestic violence may be moved to a different continuum of care geographic area to protect their health and safety and retain their Housing First funded rental assistance if the victim household reasonably believes they are imminently threatened by harm from further domestic violence, dating violence, sexual assault, or stalking.  24 CFR 578.103(a)(5).</w:t>
      </w:r>
    </w:p>
    <w:p w14:paraId="0D14CC0D" w14:textId="77777777" w:rsidR="00AF7381" w:rsidRPr="00AF7381" w:rsidRDefault="00AF7381" w:rsidP="00AF7381">
      <w:pPr>
        <w:jc w:val="both"/>
        <w:rPr>
          <w:highlight w:val="yellow"/>
        </w:rPr>
      </w:pPr>
    </w:p>
    <w:p w14:paraId="71E4C9B0" w14:textId="77777777" w:rsidR="00AF7381" w:rsidRPr="0058586C" w:rsidRDefault="00AF7381" w:rsidP="00AF7381">
      <w:pPr>
        <w:pStyle w:val="Heading2"/>
        <w:rPr>
          <w:color w:val="0070C0"/>
          <w:highlight w:val="yellow"/>
        </w:rPr>
      </w:pPr>
      <w:bookmarkStart w:id="118" w:name="_Toc34043227"/>
      <w:bookmarkStart w:id="119" w:name="_Toc124255028"/>
      <w:r w:rsidRPr="0058586C">
        <w:rPr>
          <w:color w:val="0070C0"/>
          <w:highlight w:val="yellow"/>
        </w:rPr>
        <w:t>Training</w:t>
      </w:r>
      <w:bookmarkEnd w:id="118"/>
      <w:bookmarkEnd w:id="119"/>
    </w:p>
    <w:p w14:paraId="711A6344" w14:textId="77777777" w:rsidR="00AF7381" w:rsidRPr="00AF7381" w:rsidRDefault="00AF7381" w:rsidP="00AF7381">
      <w:pPr>
        <w:spacing w:after="120"/>
        <w:jc w:val="both"/>
        <w:rPr>
          <w:highlight w:val="yellow"/>
        </w:rPr>
      </w:pPr>
      <w:r w:rsidRPr="00AF7381">
        <w:rPr>
          <w:highlight w:val="yellow"/>
        </w:rPr>
        <w:t>HUD’s 2015 Coordinated Entry and Victim Services Providers shares the following recommendations, which this CSCoC fully adopts:</w:t>
      </w:r>
    </w:p>
    <w:p w14:paraId="1C5F0B23" w14:textId="77777777" w:rsidR="00AF7381" w:rsidRPr="00AF7381" w:rsidRDefault="00AF7381">
      <w:pPr>
        <w:pStyle w:val="ListParagraph"/>
        <w:numPr>
          <w:ilvl w:val="0"/>
          <w:numId w:val="177"/>
        </w:numPr>
        <w:spacing w:after="120"/>
        <w:contextualSpacing w:val="0"/>
        <w:jc w:val="both"/>
        <w:rPr>
          <w:highlight w:val="yellow"/>
        </w:rPr>
      </w:pPr>
      <w:r w:rsidRPr="00AF7381">
        <w:rPr>
          <w:highlight w:val="yellow"/>
        </w:rPr>
        <w:t>All CES service provider shall be trained on the complex dynamics of domestic violence, privacy and confidentiality, and safety planning, including how to handle emergency situations at an access point(s), whether a physical or virtual location.</w:t>
      </w:r>
    </w:p>
    <w:p w14:paraId="053AF2B1" w14:textId="77777777" w:rsidR="00AF7381" w:rsidRPr="00AF7381" w:rsidRDefault="00AF7381">
      <w:pPr>
        <w:pStyle w:val="ListParagraph"/>
        <w:numPr>
          <w:ilvl w:val="0"/>
          <w:numId w:val="177"/>
        </w:numPr>
        <w:spacing w:after="120"/>
        <w:contextualSpacing w:val="0"/>
        <w:jc w:val="both"/>
        <w:rPr>
          <w:highlight w:val="yellow"/>
        </w:rPr>
      </w:pPr>
      <w:r w:rsidRPr="00AF7381">
        <w:rPr>
          <w:highlight w:val="yellow"/>
        </w:rPr>
        <w:t>CSCoC shall partner with local victim service provider agencies to ensure that trainings for relevant service provider are provided by informed experts in the field of domestic violence, dating violence, sexual assault, stalking, and human trafficking.</w:t>
      </w:r>
    </w:p>
    <w:p w14:paraId="417D33E3" w14:textId="77777777" w:rsidR="00AF7381" w:rsidRPr="00AF7381" w:rsidRDefault="00AF7381">
      <w:pPr>
        <w:pStyle w:val="ListParagraph"/>
        <w:numPr>
          <w:ilvl w:val="0"/>
          <w:numId w:val="177"/>
        </w:numPr>
        <w:spacing w:after="120"/>
        <w:contextualSpacing w:val="0"/>
        <w:jc w:val="both"/>
        <w:rPr>
          <w:highlight w:val="yellow"/>
        </w:rPr>
      </w:pPr>
      <w:r w:rsidRPr="00AF7381">
        <w:rPr>
          <w:highlight w:val="yellow"/>
        </w:rPr>
        <w:t>Finally, CES service provider shall have up-to-date information on domestic violence shelters and general homeless shelters and housing options that are best equipped to serve households experiencing domestic violence based on location, program model, and linkages to other supportive services.</w:t>
      </w:r>
    </w:p>
    <w:p w14:paraId="42C4A69E" w14:textId="77777777" w:rsidR="00AF7381" w:rsidRPr="00AF7381" w:rsidRDefault="00AF7381" w:rsidP="00AF7381"/>
    <w:p w14:paraId="4918CBA9" w14:textId="58DBCA1D" w:rsidR="00AF7381" w:rsidRDefault="00AF7381" w:rsidP="00AF7381">
      <w:pPr>
        <w:jc w:val="both"/>
      </w:pPr>
    </w:p>
    <w:p w14:paraId="02E5AB4E" w14:textId="3FE990F9" w:rsidR="00F90BC7" w:rsidRDefault="00F90BC7" w:rsidP="00AF7381">
      <w:pPr>
        <w:jc w:val="both"/>
      </w:pPr>
    </w:p>
    <w:p w14:paraId="7E6B7ECA" w14:textId="7CEC1685" w:rsidR="00F90BC7" w:rsidRDefault="00F90BC7" w:rsidP="00AF7381">
      <w:pPr>
        <w:jc w:val="both"/>
      </w:pPr>
    </w:p>
    <w:p w14:paraId="0828F85C" w14:textId="26CCA7A2" w:rsidR="00F90BC7" w:rsidRDefault="00F90BC7" w:rsidP="00AF7381">
      <w:pPr>
        <w:jc w:val="both"/>
      </w:pPr>
    </w:p>
    <w:p w14:paraId="1447ACE6" w14:textId="77777777" w:rsidR="00F90BC7" w:rsidRDefault="00F90BC7" w:rsidP="00AF7381">
      <w:pPr>
        <w:jc w:val="both"/>
      </w:pPr>
    </w:p>
    <w:p w14:paraId="13599270" w14:textId="77777777" w:rsidR="00FB4A55" w:rsidRPr="00FB4A55" w:rsidRDefault="00FB4A55" w:rsidP="00FB4A55"/>
    <w:p w14:paraId="5E1BCCB6" w14:textId="2393DA9D" w:rsidR="00BC6C26" w:rsidRPr="0058586C" w:rsidRDefault="00BC6C26" w:rsidP="000604EE">
      <w:pPr>
        <w:pStyle w:val="Heading1"/>
        <w:rPr>
          <w:b/>
          <w:bCs/>
          <w:color w:val="0070C0"/>
        </w:rPr>
      </w:pPr>
      <w:bookmarkStart w:id="120" w:name="_Toc124255029"/>
      <w:r w:rsidRPr="0058586C">
        <w:rPr>
          <w:b/>
          <w:bCs/>
          <w:color w:val="0070C0"/>
        </w:rPr>
        <w:lastRenderedPageBreak/>
        <w:t>General Policies</w:t>
      </w:r>
      <w:bookmarkEnd w:id="120"/>
    </w:p>
    <w:p w14:paraId="6B89538E" w14:textId="57B1B884" w:rsidR="00BC6C26" w:rsidRPr="0058586C" w:rsidRDefault="00BC6C26" w:rsidP="000604EE">
      <w:pPr>
        <w:pStyle w:val="Heading2"/>
        <w:numPr>
          <w:ilvl w:val="0"/>
          <w:numId w:val="1"/>
        </w:numPr>
        <w:spacing w:before="0" w:line="240" w:lineRule="auto"/>
        <w:contextualSpacing/>
        <w:rPr>
          <w:color w:val="0070C0"/>
        </w:rPr>
      </w:pPr>
      <w:bookmarkStart w:id="121" w:name="_Toc124255030"/>
      <w:r w:rsidRPr="0058586C">
        <w:rPr>
          <w:color w:val="0070C0"/>
        </w:rPr>
        <w:t>Coordinated Entry</w:t>
      </w:r>
      <w:bookmarkEnd w:id="121"/>
    </w:p>
    <w:p w14:paraId="0E576EF1" w14:textId="2DEB3DDB" w:rsidR="00BC6C26" w:rsidRPr="00A76818" w:rsidRDefault="00BC6C26" w:rsidP="000604EE">
      <w:pPr>
        <w:pStyle w:val="ListParagraph"/>
        <w:numPr>
          <w:ilvl w:val="1"/>
          <w:numId w:val="1"/>
        </w:numPr>
        <w:rPr>
          <w:rFonts w:ascii="Calibri" w:hAnsi="Calibri"/>
          <w:color w:val="000000" w:themeColor="text1"/>
        </w:rPr>
      </w:pPr>
      <w:r w:rsidRPr="00A76818">
        <w:rPr>
          <w:rFonts w:ascii="Calibri" w:hAnsi="Calibri"/>
          <w:color w:val="000000" w:themeColor="text1"/>
        </w:rPr>
        <w:t xml:space="preserve">The Continuum of Care’s Coordinated Entry (CE) system has been developed in accordance with the HUD Continuum of Care Regulations. Participation in this system is mandatory for ESG and CoC </w:t>
      </w:r>
      <w:r w:rsidR="000F60E4" w:rsidRPr="00A76818">
        <w:rPr>
          <w:rFonts w:ascii="Calibri" w:hAnsi="Calibri"/>
          <w:color w:val="000000" w:themeColor="text1"/>
        </w:rPr>
        <w:t>service providers</w:t>
      </w:r>
      <w:r w:rsidRPr="00A76818">
        <w:rPr>
          <w:rFonts w:ascii="Calibri" w:hAnsi="Calibri"/>
          <w:color w:val="000000" w:themeColor="text1"/>
        </w:rPr>
        <w:t xml:space="preserve">. </w:t>
      </w:r>
    </w:p>
    <w:p w14:paraId="1C8B5F21" w14:textId="77777777" w:rsidR="00BC6C26" w:rsidRPr="00A76818" w:rsidRDefault="00BC6C26" w:rsidP="000604EE">
      <w:pPr>
        <w:contextualSpacing/>
        <w:rPr>
          <w:rFonts w:ascii="Calibri" w:hAnsi="Calibri" w:cs="Calibri"/>
          <w:color w:val="000000" w:themeColor="text1"/>
        </w:rPr>
      </w:pPr>
    </w:p>
    <w:p w14:paraId="29CD3FD8" w14:textId="40B51158" w:rsidR="00BC6C26" w:rsidRPr="0058586C" w:rsidRDefault="00BC6C26" w:rsidP="000604EE">
      <w:pPr>
        <w:pStyle w:val="Heading2"/>
        <w:numPr>
          <w:ilvl w:val="0"/>
          <w:numId w:val="1"/>
        </w:numPr>
        <w:spacing w:before="0" w:line="240" w:lineRule="auto"/>
        <w:contextualSpacing/>
        <w:rPr>
          <w:color w:val="0070C0"/>
        </w:rPr>
      </w:pPr>
      <w:bookmarkStart w:id="122" w:name="_Toc124255031"/>
      <w:r w:rsidRPr="0058586C">
        <w:rPr>
          <w:color w:val="0070C0"/>
        </w:rPr>
        <w:t>HMIS</w:t>
      </w:r>
      <w:bookmarkEnd w:id="122"/>
    </w:p>
    <w:p w14:paraId="4217068E" w14:textId="0BC41B57" w:rsidR="00BC6C26" w:rsidRPr="00A76818" w:rsidRDefault="00BC6C26" w:rsidP="000604EE">
      <w:pPr>
        <w:pStyle w:val="ListParagraph"/>
        <w:numPr>
          <w:ilvl w:val="1"/>
          <w:numId w:val="1"/>
        </w:numPr>
        <w:rPr>
          <w:rFonts w:ascii="Calibri" w:hAnsi="Calibri"/>
          <w:color w:val="000000" w:themeColor="text1"/>
        </w:rPr>
      </w:pPr>
      <w:r w:rsidRPr="00A76818">
        <w:rPr>
          <w:rFonts w:ascii="Calibri" w:hAnsi="Calibri"/>
          <w:color w:val="000000" w:themeColor="text1"/>
        </w:rPr>
        <w:t xml:space="preserve">All </w:t>
      </w:r>
      <w:r w:rsidR="000F60E4" w:rsidRPr="00A76818">
        <w:rPr>
          <w:rFonts w:ascii="Calibri" w:hAnsi="Calibri"/>
          <w:color w:val="000000" w:themeColor="text1"/>
        </w:rPr>
        <w:t>CoC and ESG service providers</w:t>
      </w:r>
      <w:r w:rsidRPr="00A76818">
        <w:rPr>
          <w:rFonts w:ascii="Calibri" w:hAnsi="Calibri"/>
          <w:color w:val="000000" w:themeColor="text1"/>
        </w:rPr>
        <w:t xml:space="preserve"> are required to participate in the Homeless Management Information System (HMIS) per the ESG and CoC Interim Rule (24 CFR 576 and 578). HMIS provides an opportunity to document homelessness and helps to ensure coordination between service providers while avoiding duplication of services and client data. </w:t>
      </w:r>
    </w:p>
    <w:p w14:paraId="65E0E865" w14:textId="05A53228" w:rsidR="002721C8" w:rsidRPr="0058586C" w:rsidRDefault="002721C8" w:rsidP="002721C8">
      <w:pPr>
        <w:pStyle w:val="Heading2"/>
        <w:numPr>
          <w:ilvl w:val="0"/>
          <w:numId w:val="1"/>
        </w:numPr>
        <w:rPr>
          <w:color w:val="0070C0"/>
          <w:highlight w:val="yellow"/>
        </w:rPr>
      </w:pPr>
      <w:bookmarkStart w:id="123" w:name="_Toc124255032"/>
      <w:r w:rsidRPr="0058586C">
        <w:rPr>
          <w:color w:val="0070C0"/>
          <w:highlight w:val="yellow"/>
        </w:rPr>
        <w:t>Eligibility</w:t>
      </w:r>
      <w:bookmarkEnd w:id="123"/>
    </w:p>
    <w:p w14:paraId="2D81E48D" w14:textId="5FDB5F7C" w:rsidR="002721C8" w:rsidRPr="00901DB9" w:rsidRDefault="002721C8" w:rsidP="002721C8">
      <w:pPr>
        <w:pStyle w:val="ListParagraph"/>
        <w:numPr>
          <w:ilvl w:val="1"/>
          <w:numId w:val="1"/>
        </w:numPr>
        <w:rPr>
          <w:highlight w:val="yellow"/>
        </w:rPr>
      </w:pPr>
      <w:r w:rsidRPr="00901DB9">
        <w:rPr>
          <w:highlight w:val="yellow"/>
        </w:rPr>
        <w:t>Eligibility for all programs is consistent for all participants.</w:t>
      </w:r>
    </w:p>
    <w:p w14:paraId="7DEB110D" w14:textId="3513C8C2" w:rsidR="002721C8" w:rsidRPr="00901DB9" w:rsidRDefault="002721C8" w:rsidP="002721C8">
      <w:pPr>
        <w:pStyle w:val="ListParagraph"/>
        <w:numPr>
          <w:ilvl w:val="1"/>
          <w:numId w:val="1"/>
        </w:numPr>
        <w:rPr>
          <w:highlight w:val="yellow"/>
        </w:rPr>
      </w:pPr>
      <w:r w:rsidRPr="00901DB9">
        <w:rPr>
          <w:highlight w:val="yellow"/>
        </w:rPr>
        <w:t>Participants will be evaluated, both individuals and families, for eligibility for assistance under the ESG grant process that include:</w:t>
      </w:r>
    </w:p>
    <w:p w14:paraId="53098075" w14:textId="5328FE66" w:rsidR="002721C8" w:rsidRPr="00901DB9" w:rsidRDefault="00CA6E35" w:rsidP="002721C8">
      <w:pPr>
        <w:pStyle w:val="ListParagraph"/>
        <w:numPr>
          <w:ilvl w:val="2"/>
          <w:numId w:val="1"/>
        </w:numPr>
        <w:rPr>
          <w:highlight w:val="yellow"/>
        </w:rPr>
      </w:pPr>
      <w:r w:rsidRPr="00901DB9">
        <w:rPr>
          <w:highlight w:val="yellow"/>
        </w:rPr>
        <w:t>Household mu</w:t>
      </w:r>
      <w:r w:rsidR="002721C8" w:rsidRPr="00901DB9">
        <w:rPr>
          <w:highlight w:val="yellow"/>
        </w:rPr>
        <w:t>st be literally homeless, at imminent risk of homelessness, or fleeing/attempting to flee domestic violence</w:t>
      </w:r>
    </w:p>
    <w:p w14:paraId="65793FF3" w14:textId="4D11FAD3" w:rsidR="002721C8" w:rsidRPr="00901DB9" w:rsidRDefault="00CA6E35" w:rsidP="002721C8">
      <w:pPr>
        <w:pStyle w:val="ListParagraph"/>
        <w:numPr>
          <w:ilvl w:val="2"/>
          <w:numId w:val="1"/>
        </w:numPr>
        <w:rPr>
          <w:highlight w:val="yellow"/>
        </w:rPr>
      </w:pPr>
      <w:r w:rsidRPr="00901DB9">
        <w:rPr>
          <w:highlight w:val="yellow"/>
        </w:rPr>
        <w:t>Household a</w:t>
      </w:r>
      <w:r w:rsidR="002721C8" w:rsidRPr="00901DB9">
        <w:rPr>
          <w:highlight w:val="yellow"/>
        </w:rPr>
        <w:t>ccess is provided without preconditions, such as sobriety or ability to pay program fees</w:t>
      </w:r>
    </w:p>
    <w:p w14:paraId="5C5D8EE2" w14:textId="21E2C231" w:rsidR="002721C8" w:rsidRPr="00901DB9" w:rsidRDefault="00CA6E35" w:rsidP="002721C8">
      <w:pPr>
        <w:pStyle w:val="ListParagraph"/>
        <w:numPr>
          <w:ilvl w:val="2"/>
          <w:numId w:val="1"/>
        </w:numPr>
        <w:rPr>
          <w:highlight w:val="yellow"/>
        </w:rPr>
      </w:pPr>
      <w:r w:rsidRPr="00901DB9">
        <w:rPr>
          <w:highlight w:val="yellow"/>
        </w:rPr>
        <w:t>Household there is no</w:t>
      </w:r>
      <w:r w:rsidR="002721C8" w:rsidRPr="00901DB9">
        <w:rPr>
          <w:highlight w:val="yellow"/>
        </w:rPr>
        <w:t xml:space="preserve"> income assessment required at intake</w:t>
      </w:r>
    </w:p>
    <w:p w14:paraId="2314EBF8" w14:textId="5D9CC6DF" w:rsidR="002721C8" w:rsidRPr="00901DB9" w:rsidRDefault="002721C8" w:rsidP="002721C8">
      <w:pPr>
        <w:pStyle w:val="ListParagraph"/>
        <w:numPr>
          <w:ilvl w:val="2"/>
          <w:numId w:val="1"/>
        </w:numPr>
        <w:rPr>
          <w:highlight w:val="yellow"/>
        </w:rPr>
      </w:pPr>
      <w:r w:rsidRPr="00901DB9">
        <w:rPr>
          <w:highlight w:val="yellow"/>
        </w:rPr>
        <w:t>Continued rapid re-housing assistance eligibility requires a household must have an annual income at or below 30% AMI</w:t>
      </w:r>
    </w:p>
    <w:p w14:paraId="62863DCA" w14:textId="15750F70" w:rsidR="002721C8" w:rsidRPr="00901DB9" w:rsidRDefault="002721C8" w:rsidP="002721C8">
      <w:pPr>
        <w:pStyle w:val="ListParagraph"/>
        <w:numPr>
          <w:ilvl w:val="2"/>
          <w:numId w:val="1"/>
        </w:numPr>
        <w:rPr>
          <w:highlight w:val="yellow"/>
        </w:rPr>
      </w:pPr>
      <w:r w:rsidRPr="00901DB9">
        <w:rPr>
          <w:highlight w:val="yellow"/>
        </w:rPr>
        <w:t>Revaluation takes please no less than once every 3 months</w:t>
      </w:r>
    </w:p>
    <w:p w14:paraId="46DE026B" w14:textId="53E3A58D" w:rsidR="002721C8" w:rsidRPr="00901DB9" w:rsidRDefault="002721C8" w:rsidP="002721C8">
      <w:pPr>
        <w:pStyle w:val="ListParagraph"/>
        <w:numPr>
          <w:ilvl w:val="2"/>
          <w:numId w:val="1"/>
        </w:numPr>
        <w:rPr>
          <w:highlight w:val="yellow"/>
        </w:rPr>
      </w:pPr>
      <w:r w:rsidRPr="00901DB9">
        <w:rPr>
          <w:highlight w:val="yellow"/>
        </w:rPr>
        <w:t>Local</w:t>
      </w:r>
      <w:r w:rsidR="00CA6E35" w:rsidRPr="00901DB9">
        <w:rPr>
          <w:highlight w:val="yellow"/>
        </w:rPr>
        <w:t xml:space="preserve">: </w:t>
      </w:r>
      <w:r w:rsidRPr="00901DB9">
        <w:rPr>
          <w:highlight w:val="yellow"/>
        </w:rPr>
        <w:t xml:space="preserve"> eligibility to continue households must have an annual income at or below 80%  AMI </w:t>
      </w:r>
    </w:p>
    <w:p w14:paraId="5F52F4E7" w14:textId="5273B61A" w:rsidR="00CA6E35" w:rsidRPr="00901DB9" w:rsidRDefault="00CA6E35" w:rsidP="002721C8">
      <w:pPr>
        <w:pStyle w:val="ListParagraph"/>
        <w:numPr>
          <w:ilvl w:val="2"/>
          <w:numId w:val="1"/>
        </w:numPr>
        <w:rPr>
          <w:highlight w:val="yellow"/>
        </w:rPr>
      </w:pPr>
      <w:r w:rsidRPr="00901DB9">
        <w:rPr>
          <w:highlight w:val="yellow"/>
        </w:rPr>
        <w:t>For Street Outreach, households must be experiencing unsheltered homelessness</w:t>
      </w:r>
    </w:p>
    <w:p w14:paraId="3C1DDA10" w14:textId="1431F02B" w:rsidR="00CA6E35" w:rsidRPr="00901DB9" w:rsidRDefault="00CA6E35" w:rsidP="00CA6E35">
      <w:pPr>
        <w:pStyle w:val="ListParagraph"/>
        <w:numPr>
          <w:ilvl w:val="1"/>
          <w:numId w:val="1"/>
        </w:numPr>
        <w:rPr>
          <w:highlight w:val="yellow"/>
        </w:rPr>
      </w:pPr>
      <w:r w:rsidRPr="00901DB9">
        <w:rPr>
          <w:highlight w:val="yellow"/>
        </w:rPr>
        <w:t>Additional eligibility requirements may be found under each of the specific types of housing</w:t>
      </w:r>
    </w:p>
    <w:p w14:paraId="5AD76A26" w14:textId="194C3FC8" w:rsidR="00CA6E35" w:rsidRPr="00901DB9" w:rsidRDefault="00CA6E35" w:rsidP="00CA6E35">
      <w:pPr>
        <w:pStyle w:val="ListParagraph"/>
        <w:numPr>
          <w:ilvl w:val="1"/>
          <w:numId w:val="1"/>
        </w:numPr>
        <w:rPr>
          <w:highlight w:val="yellow"/>
        </w:rPr>
      </w:pPr>
      <w:r w:rsidRPr="00901DB9">
        <w:rPr>
          <w:highlight w:val="yellow"/>
        </w:rPr>
        <w:t>Targeting and providing essential services related to street outreach include:</w:t>
      </w:r>
    </w:p>
    <w:p w14:paraId="1D378D90" w14:textId="58BA3C29" w:rsidR="00CA6E35" w:rsidRPr="00901DB9" w:rsidRDefault="00CA6E35" w:rsidP="00CA6E35">
      <w:pPr>
        <w:pStyle w:val="ListParagraph"/>
        <w:numPr>
          <w:ilvl w:val="2"/>
          <w:numId w:val="1"/>
        </w:numPr>
        <w:rPr>
          <w:highlight w:val="yellow"/>
        </w:rPr>
      </w:pPr>
      <w:r w:rsidRPr="00901DB9">
        <w:rPr>
          <w:highlight w:val="yellow"/>
        </w:rPr>
        <w:t xml:space="preserve">Admission, diversion, referral, and discharge </w:t>
      </w:r>
    </w:p>
    <w:p w14:paraId="17991154" w14:textId="6E815433" w:rsidR="00CA6E35" w:rsidRDefault="00CA6E35" w:rsidP="00FB4A55"/>
    <w:p w14:paraId="728827E7" w14:textId="61672D55" w:rsidR="00FB4A55" w:rsidRPr="0058586C" w:rsidRDefault="00FB4A55" w:rsidP="00FB4A55">
      <w:pPr>
        <w:pStyle w:val="Heading2"/>
        <w:numPr>
          <w:ilvl w:val="0"/>
          <w:numId w:val="1"/>
        </w:numPr>
        <w:rPr>
          <w:color w:val="0070C0"/>
          <w:highlight w:val="yellow"/>
        </w:rPr>
      </w:pPr>
      <w:bookmarkStart w:id="124" w:name="_Toc124255033"/>
      <w:r w:rsidRPr="0058586C">
        <w:rPr>
          <w:color w:val="0070C0"/>
          <w:highlight w:val="yellow"/>
        </w:rPr>
        <w:t>Emergency Transfer Plan</w:t>
      </w:r>
      <w:bookmarkEnd w:id="124"/>
    </w:p>
    <w:p w14:paraId="5B217C3F" w14:textId="77777777" w:rsidR="00FB4A55" w:rsidRPr="00FB4A55" w:rsidRDefault="00FB4A55" w:rsidP="00FB4A55">
      <w:pPr>
        <w:spacing w:after="120"/>
        <w:jc w:val="both"/>
        <w:rPr>
          <w:rFonts w:cs="Calibri"/>
          <w:highlight w:val="yellow"/>
        </w:rPr>
      </w:pPr>
      <w:r w:rsidRPr="00FB4A55">
        <w:rPr>
          <w:rFonts w:cs="Calibri"/>
          <w:highlight w:val="yellow"/>
        </w:rPr>
        <w:t>The Central Sierra Continuum of Care (CSCoC)’s Emergency Transfer Program allows tenants (lessee or co-lessee) to apply for an emergency transfer if they believe they, or other individuals covered under the definitions below, qualify as a victim under one of the four emergency transfer categories:</w:t>
      </w:r>
    </w:p>
    <w:p w14:paraId="2EA871A0" w14:textId="77777777" w:rsidR="00FB4A55" w:rsidRPr="00FB4A55" w:rsidRDefault="00FB4A55">
      <w:pPr>
        <w:numPr>
          <w:ilvl w:val="0"/>
          <w:numId w:val="141"/>
        </w:numPr>
        <w:spacing w:after="120"/>
        <w:ind w:left="0" w:firstLine="360"/>
        <w:jc w:val="both"/>
        <w:rPr>
          <w:rFonts w:cs="Calibri"/>
          <w:highlight w:val="yellow"/>
        </w:rPr>
      </w:pPr>
      <w:r w:rsidRPr="00FB4A55">
        <w:rPr>
          <w:rFonts w:cs="Calibri"/>
          <w:highlight w:val="yellow"/>
        </w:rPr>
        <w:lastRenderedPageBreak/>
        <w:t>Victim under the Violence Against Women Act (VAWA)</w:t>
      </w:r>
      <w:r w:rsidRPr="00FB4A55">
        <w:rPr>
          <w:rStyle w:val="FootnoteReference"/>
          <w:highlight w:val="yellow"/>
        </w:rPr>
        <w:t xml:space="preserve"> </w:t>
      </w:r>
      <w:r w:rsidRPr="00FB4A55">
        <w:rPr>
          <w:rStyle w:val="FootnoteReference"/>
          <w:highlight w:val="yellow"/>
        </w:rPr>
        <w:footnoteReference w:id="2"/>
      </w:r>
      <w:r w:rsidRPr="00FB4A55">
        <w:rPr>
          <w:rFonts w:cs="Calibri"/>
          <w:highlight w:val="yellow"/>
        </w:rPr>
        <w:t>: victim of domestic violence, dating violence, sexual assault, or stalking</w:t>
      </w:r>
    </w:p>
    <w:p w14:paraId="0F1BE0D1" w14:textId="77777777" w:rsidR="00FB4A55" w:rsidRPr="00FB4A55" w:rsidRDefault="00FB4A55">
      <w:pPr>
        <w:numPr>
          <w:ilvl w:val="0"/>
          <w:numId w:val="141"/>
        </w:numPr>
        <w:spacing w:after="120"/>
        <w:ind w:left="0" w:firstLine="360"/>
        <w:jc w:val="both"/>
        <w:rPr>
          <w:rFonts w:cs="Calibri"/>
          <w:highlight w:val="yellow"/>
        </w:rPr>
      </w:pPr>
      <w:r w:rsidRPr="00FB4A55">
        <w:rPr>
          <w:rFonts w:cs="Calibri"/>
          <w:highlight w:val="yellow"/>
        </w:rPr>
        <w:t>Intimidated Witness</w:t>
      </w:r>
    </w:p>
    <w:p w14:paraId="3B8C75A9" w14:textId="77777777" w:rsidR="00FB4A55" w:rsidRPr="00FB4A55" w:rsidRDefault="00FB4A55">
      <w:pPr>
        <w:numPr>
          <w:ilvl w:val="0"/>
          <w:numId w:val="141"/>
        </w:numPr>
        <w:spacing w:after="120"/>
        <w:ind w:left="0" w:firstLine="360"/>
        <w:jc w:val="both"/>
        <w:rPr>
          <w:rFonts w:cs="Calibri"/>
          <w:highlight w:val="yellow"/>
        </w:rPr>
      </w:pPr>
      <w:r w:rsidRPr="00FB4A55">
        <w:rPr>
          <w:rFonts w:cs="Calibri"/>
          <w:highlight w:val="yellow"/>
        </w:rPr>
        <w:t>Intimidated Victim</w:t>
      </w:r>
    </w:p>
    <w:p w14:paraId="168AB607" w14:textId="77777777" w:rsidR="00FB4A55" w:rsidRPr="00FB4A55" w:rsidRDefault="00FB4A55">
      <w:pPr>
        <w:numPr>
          <w:ilvl w:val="0"/>
          <w:numId w:val="141"/>
        </w:numPr>
        <w:spacing w:after="120"/>
        <w:ind w:left="0" w:firstLine="360"/>
        <w:jc w:val="both"/>
        <w:rPr>
          <w:rFonts w:cs="Calibri"/>
          <w:highlight w:val="yellow"/>
        </w:rPr>
      </w:pPr>
      <w:r w:rsidRPr="00FB4A55">
        <w:rPr>
          <w:rFonts w:cs="Calibri"/>
          <w:highlight w:val="yellow"/>
        </w:rPr>
        <w:t>Victim of a Traumatic Incident</w:t>
      </w:r>
    </w:p>
    <w:p w14:paraId="6275F804" w14:textId="77777777" w:rsidR="00FB4A55" w:rsidRPr="00FB4A55" w:rsidRDefault="00FB4A55" w:rsidP="00FB4A55">
      <w:pPr>
        <w:spacing w:after="240"/>
        <w:jc w:val="both"/>
        <w:rPr>
          <w:rFonts w:cs="Calibri"/>
          <w:highlight w:val="yellow"/>
        </w:rPr>
      </w:pPr>
      <w:r w:rsidRPr="00FB4A55">
        <w:rPr>
          <w:rFonts w:cs="Calibri"/>
          <w:highlight w:val="yellow"/>
        </w:rPr>
        <w:t>This plan is based on a model emergency transfer plan published by the U.S. Department of Housing and Urban Development (HUD), the Federal agency that oversees CSCoC.</w:t>
      </w:r>
    </w:p>
    <w:p w14:paraId="62B8AA9C" w14:textId="77777777" w:rsidR="00FB4A55" w:rsidRPr="00FB4A55" w:rsidRDefault="00FB4A55" w:rsidP="00FB4A55">
      <w:pPr>
        <w:spacing w:after="240"/>
        <w:jc w:val="both"/>
        <w:rPr>
          <w:highlight w:val="yellow"/>
        </w:rPr>
      </w:pPr>
      <w:r w:rsidRPr="00FB4A55">
        <w:rPr>
          <w:rFonts w:cs="Calibri"/>
          <w:highlight w:val="yellow"/>
        </w:rPr>
        <w:t xml:space="preserve">The CSCoC is </w:t>
      </w:r>
      <w:r w:rsidRPr="00FB4A55">
        <w:rPr>
          <w:highlight w:val="yellow"/>
        </w:rPr>
        <w:t>concerned about the safety of tenants serviced by member agencies, and such concern extends to tenants who are victims of domestic violence, dating violence, sexual assault, or stalking.  In accordance with VAWA, the CSCoC allows tenants who are victims of domestic violence, dating violence, sexual assault, or stalking to request an emergency transfer from the tenant’s current unit to another unit.  The ability to request a transfer is available regardless of sex, gender identity, or sexual orientation.</w:t>
      </w:r>
      <w:r w:rsidRPr="00FB4A55">
        <w:rPr>
          <w:rStyle w:val="FootnoteReference"/>
          <w:highlight w:val="yellow"/>
        </w:rPr>
        <w:footnoteReference w:id="3"/>
      </w:r>
      <w:r w:rsidRPr="00FB4A55">
        <w:rPr>
          <w:highlight w:val="yellow"/>
        </w:rPr>
        <w:t xml:space="preserve">  The ability of CSCoC to honor such request for tenants currently receiving assistance, however, may depend upon a preliminary determination that the tenant is or has been a victim of domestic violence, dating violence, sexual assault, or stalking, and on whether CSCoC has another dwelling unit that is available and is safe to offer the tenant for temporary or more permanent occupancy. </w:t>
      </w:r>
    </w:p>
    <w:p w14:paraId="617617DC" w14:textId="77777777" w:rsidR="00FB4A55" w:rsidRPr="00FB4A55" w:rsidRDefault="00FB4A55" w:rsidP="00FB4A55">
      <w:pPr>
        <w:spacing w:after="240"/>
        <w:jc w:val="both"/>
        <w:rPr>
          <w:highlight w:val="yellow"/>
        </w:rPr>
      </w:pPr>
      <w:r w:rsidRPr="00FB4A55">
        <w:rPr>
          <w:highlight w:val="yellow"/>
        </w:rPr>
        <w:t>This plan identifies tenants who are eligible for an emergency transfer, the documentation needed to request an emergency transfer, confidentiality protections, how an emergency transfer may occur, and guidance to tenants on safety and security.  This plan is based on a model emergency transfer plan published by the U.S. Department of Housing and Urban Development (HUD), the Federal agency that oversees that CSCoC and its member agencies are in compliance with VAWA.</w:t>
      </w:r>
    </w:p>
    <w:p w14:paraId="0A7E3010" w14:textId="60744F56" w:rsidR="00FB4A55" w:rsidRDefault="00FB4A55" w:rsidP="00FB4A55">
      <w:pPr>
        <w:spacing w:after="240"/>
        <w:jc w:val="both"/>
        <w:rPr>
          <w:rFonts w:cs="Calibri"/>
          <w:highlight w:val="yellow"/>
        </w:rPr>
      </w:pPr>
    </w:p>
    <w:p w14:paraId="6914818A" w14:textId="52BA692B" w:rsidR="00F80BC0" w:rsidRDefault="00F80BC0" w:rsidP="00FB4A55">
      <w:pPr>
        <w:spacing w:after="240"/>
        <w:jc w:val="both"/>
        <w:rPr>
          <w:rFonts w:cs="Calibri"/>
          <w:highlight w:val="yellow"/>
        </w:rPr>
      </w:pPr>
    </w:p>
    <w:p w14:paraId="54616EE3" w14:textId="77777777" w:rsidR="00F80BC0" w:rsidRPr="00FB4A55" w:rsidRDefault="00F80BC0" w:rsidP="00FB4A55">
      <w:pPr>
        <w:spacing w:after="240"/>
        <w:jc w:val="both"/>
        <w:rPr>
          <w:rFonts w:cs="Calibri"/>
          <w:highlight w:val="yellow"/>
        </w:rPr>
      </w:pPr>
    </w:p>
    <w:p w14:paraId="260680D3" w14:textId="77777777" w:rsidR="00FB4A55" w:rsidRPr="00FB4A55" w:rsidRDefault="00FB4A55" w:rsidP="00FB4A5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FFFF"/>
        <w:spacing w:after="240"/>
        <w:jc w:val="center"/>
        <w:rPr>
          <w:rFonts w:cs="Calibri"/>
          <w:b/>
          <w:smallCaps/>
          <w:highlight w:val="yellow"/>
        </w:rPr>
      </w:pPr>
      <w:r w:rsidRPr="00FB4A55">
        <w:rPr>
          <w:rFonts w:cs="Calibri"/>
          <w:b/>
          <w:smallCaps/>
          <w:sz w:val="32"/>
          <w:szCs w:val="32"/>
          <w:highlight w:val="yellow"/>
        </w:rPr>
        <w:lastRenderedPageBreak/>
        <w:t>Emergency Transfer Process and Categories</w:t>
      </w:r>
      <w:r w:rsidRPr="00FB4A55">
        <w:rPr>
          <w:rFonts w:cs="Calibri"/>
          <w:b/>
          <w:smallCaps/>
          <w:sz w:val="32"/>
          <w:szCs w:val="32"/>
          <w:highlight w:val="yellow"/>
        </w:rPr>
        <w:br/>
      </w:r>
    </w:p>
    <w:p w14:paraId="6288DC2B" w14:textId="77777777" w:rsidR="00FB4A55" w:rsidRPr="00FB4A55" w:rsidRDefault="00FB4A55" w:rsidP="00FB4A55">
      <w:pPr>
        <w:spacing w:after="240"/>
        <w:jc w:val="both"/>
        <w:rPr>
          <w:rFonts w:cs="Calibri"/>
          <w:highlight w:val="yellow"/>
        </w:rPr>
      </w:pPr>
      <w:r w:rsidRPr="00FB4A55">
        <w:rPr>
          <w:rFonts w:cs="Calibri"/>
          <w:highlight w:val="yellow"/>
        </w:rPr>
        <w:t>CSCoC cannot guarantee that an emergency transfer request will be approved or how long it will take to process and emergency transfer request.</w:t>
      </w:r>
    </w:p>
    <w:p w14:paraId="37733C55" w14:textId="77777777" w:rsidR="00FB4A55" w:rsidRPr="00FB4A55" w:rsidRDefault="00FB4A55" w:rsidP="00FB4A55">
      <w:pPr>
        <w:spacing w:after="240"/>
        <w:jc w:val="both"/>
        <w:rPr>
          <w:rFonts w:cs="Calibri"/>
          <w:highlight w:val="yellow"/>
        </w:rPr>
      </w:pPr>
      <w:r w:rsidRPr="00FB4A55">
        <w:rPr>
          <w:rFonts w:cs="Calibri"/>
          <w:highlight w:val="yellow"/>
        </w:rPr>
        <w:t>CSCoC will review each emergency transfer request to determine if the tenant meets the eligibility requirements for the requested transfer category.  Eligible tenants who meet the emergency transfer requirements will be placed on the CSCoC housing waiting list and given highest priority in the Tenant Selection and Assignment Plan.  CSCoC will act as quickly as possible to transfer eligible tenants; however, CSCoC’s ability to transfer an eligible tenant to a new housing unit depends on the availability of a unit based on the tenant’s family composition and transfer preferences, the tenant’s transfer priority, the size of CSCoC’s waiting list, turnover rate, and the availability of vacant units.</w:t>
      </w:r>
    </w:p>
    <w:p w14:paraId="5ADE5322" w14:textId="77777777" w:rsidR="00FB4A55" w:rsidRPr="00FB4A55" w:rsidRDefault="00FB4A55" w:rsidP="00FB4A55">
      <w:pPr>
        <w:spacing w:after="240"/>
        <w:jc w:val="both"/>
        <w:rPr>
          <w:rFonts w:cs="Calibri"/>
          <w:highlight w:val="yellow"/>
        </w:rPr>
      </w:pPr>
      <w:r w:rsidRPr="00FB4A55">
        <w:rPr>
          <w:rFonts w:cs="Calibri"/>
          <w:highlight w:val="yellow"/>
        </w:rPr>
        <w:t>To qualify for an emergency transfer, a tenant must meet the eligibility requirements and submit the requisite documentation under one of the transfer categories in this plan.</w:t>
      </w:r>
    </w:p>
    <w:p w14:paraId="4BB61CCF" w14:textId="77777777" w:rsidR="00FB4A55" w:rsidRPr="00FB4A55" w:rsidRDefault="00FB4A55" w:rsidP="00FB4A5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FFFF"/>
        <w:spacing w:after="240"/>
        <w:jc w:val="center"/>
        <w:rPr>
          <w:rFonts w:cs="Calibri"/>
          <w:b/>
          <w:smallCaps/>
          <w:highlight w:val="yellow"/>
        </w:rPr>
      </w:pPr>
      <w:r w:rsidRPr="00FB4A55">
        <w:rPr>
          <w:rFonts w:cs="Calibri"/>
          <w:b/>
          <w:smallCaps/>
          <w:sz w:val="32"/>
          <w:szCs w:val="32"/>
          <w:highlight w:val="yellow"/>
        </w:rPr>
        <w:t>VAWA Victim</w:t>
      </w:r>
      <w:r w:rsidRPr="00FB4A55">
        <w:rPr>
          <w:rFonts w:cs="Calibri"/>
          <w:b/>
          <w:smallCaps/>
          <w:sz w:val="32"/>
          <w:szCs w:val="32"/>
          <w:highlight w:val="yellow"/>
        </w:rPr>
        <w:br/>
      </w:r>
    </w:p>
    <w:p w14:paraId="247C0C17" w14:textId="77777777" w:rsidR="00FB4A55" w:rsidRPr="00FB4A55" w:rsidRDefault="00FB4A55" w:rsidP="00FB4A55">
      <w:pPr>
        <w:spacing w:after="120"/>
        <w:jc w:val="center"/>
        <w:rPr>
          <w:rFonts w:cs="Calibri"/>
          <w:b/>
          <w:bCs/>
          <w:highlight w:val="yellow"/>
        </w:rPr>
      </w:pPr>
      <w:r w:rsidRPr="00FB4A55">
        <w:rPr>
          <w:rFonts w:cs="Calibri"/>
          <w:b/>
          <w:bCs/>
          <w:highlight w:val="yellow"/>
        </w:rPr>
        <w:t>Eligibility Standard</w:t>
      </w:r>
    </w:p>
    <w:p w14:paraId="45E88E7E" w14:textId="77777777" w:rsidR="00FB4A55" w:rsidRPr="00FB4A55" w:rsidRDefault="00FB4A55" w:rsidP="00FB4A55">
      <w:pPr>
        <w:spacing w:after="120"/>
        <w:rPr>
          <w:rFonts w:cs="Calibri"/>
          <w:highlight w:val="yellow"/>
        </w:rPr>
      </w:pPr>
      <w:r w:rsidRPr="00FB4A55">
        <w:rPr>
          <w:rFonts w:cs="Calibri"/>
          <w:highlight w:val="yellow"/>
        </w:rPr>
        <w:t>To qualify for an emergency transfer as a VAWA victim:</w:t>
      </w:r>
    </w:p>
    <w:p w14:paraId="05AF6433" w14:textId="77777777" w:rsidR="00FB4A55" w:rsidRPr="00FB4A55" w:rsidRDefault="00FB4A55" w:rsidP="00FB4A55">
      <w:pPr>
        <w:spacing w:after="120"/>
        <w:rPr>
          <w:rFonts w:cs="Calibri"/>
          <w:highlight w:val="yellow"/>
        </w:rPr>
      </w:pPr>
      <w:r w:rsidRPr="00FB4A55">
        <w:rPr>
          <w:rFonts w:cs="Calibri"/>
          <w:highlight w:val="yellow"/>
        </w:rPr>
        <w:t>The tenant, an authorized household member, or an affiliated individual</w:t>
      </w:r>
      <w:r w:rsidRPr="00FB4A55">
        <w:rPr>
          <w:rStyle w:val="FootnoteReference"/>
          <w:rFonts w:cs="Calibri"/>
          <w:highlight w:val="yellow"/>
        </w:rPr>
        <w:footnoteReference w:id="4"/>
      </w:r>
      <w:r w:rsidRPr="00FB4A55">
        <w:rPr>
          <w:rFonts w:cs="Calibri"/>
          <w:highlight w:val="yellow"/>
        </w:rPr>
        <w:t xml:space="preserve"> must qualify as a victim under one of the following VAWA categories:</w:t>
      </w:r>
    </w:p>
    <w:p w14:paraId="34A3A5A3" w14:textId="77777777" w:rsidR="00FB4A55" w:rsidRPr="00FB4A55" w:rsidRDefault="00FB4A55">
      <w:pPr>
        <w:numPr>
          <w:ilvl w:val="0"/>
          <w:numId w:val="141"/>
        </w:numPr>
        <w:spacing w:after="120"/>
        <w:ind w:left="0" w:firstLine="360"/>
        <w:jc w:val="both"/>
        <w:rPr>
          <w:rFonts w:cs="Calibri"/>
          <w:highlight w:val="yellow"/>
        </w:rPr>
      </w:pPr>
      <w:r w:rsidRPr="00FB4A55">
        <w:rPr>
          <w:rFonts w:cs="Calibri"/>
          <w:highlight w:val="yellow"/>
          <w:u w:val="single"/>
        </w:rPr>
        <w:t>Domestic Violence</w:t>
      </w:r>
      <w:r w:rsidRPr="00FB4A55">
        <w:rPr>
          <w:rFonts w:cs="Calibri"/>
          <w:highlight w:val="yellow"/>
        </w:rPr>
        <w:t>: Victim of a felony or misdemeanor crime of violence committed by a family member, current or former spouse or intimate partner, a person similarly situated to a spouse under California domestic or family violence laws, or by a person against a victim protected under California’s domestic or family violence laws.</w:t>
      </w:r>
    </w:p>
    <w:p w14:paraId="05161F08" w14:textId="77777777" w:rsidR="00FB4A55" w:rsidRPr="00FB4A55" w:rsidRDefault="00FB4A55">
      <w:pPr>
        <w:numPr>
          <w:ilvl w:val="0"/>
          <w:numId w:val="141"/>
        </w:numPr>
        <w:spacing w:after="120"/>
        <w:ind w:left="0" w:firstLine="360"/>
        <w:jc w:val="both"/>
        <w:rPr>
          <w:rFonts w:cs="Calibri"/>
          <w:highlight w:val="yellow"/>
        </w:rPr>
      </w:pPr>
      <w:r w:rsidRPr="00FB4A55">
        <w:rPr>
          <w:rFonts w:cs="Calibri"/>
          <w:highlight w:val="yellow"/>
          <w:u w:val="single"/>
        </w:rPr>
        <w:lastRenderedPageBreak/>
        <w:t>Dating Violence</w:t>
      </w:r>
      <w:r w:rsidRPr="00FB4A55">
        <w:rPr>
          <w:rFonts w:cs="Calibri"/>
          <w:highlight w:val="yellow"/>
        </w:rPr>
        <w:t>: Victim of violence committed by a person who is or has been in a social relationship of a romantic or intimate nature with the victim.  The existence of such relationship is to be determined based on length and type of relationship and frequency of interaction between the persons involved in the relationship.</w:t>
      </w:r>
    </w:p>
    <w:p w14:paraId="3CB12DF4" w14:textId="77777777" w:rsidR="00FB4A55" w:rsidRPr="00FB4A55" w:rsidRDefault="00FB4A55">
      <w:pPr>
        <w:numPr>
          <w:ilvl w:val="0"/>
          <w:numId w:val="141"/>
        </w:numPr>
        <w:spacing w:after="120"/>
        <w:ind w:left="0" w:firstLine="360"/>
        <w:jc w:val="both"/>
        <w:rPr>
          <w:rFonts w:cs="Calibri"/>
          <w:highlight w:val="yellow"/>
        </w:rPr>
      </w:pPr>
      <w:r w:rsidRPr="00FB4A55">
        <w:rPr>
          <w:rFonts w:cs="Calibri"/>
          <w:highlight w:val="yellow"/>
          <w:u w:val="single"/>
        </w:rPr>
        <w:t>Sexual Assault</w:t>
      </w:r>
      <w:r w:rsidRPr="00FB4A55">
        <w:rPr>
          <w:rFonts w:cs="Calibri"/>
          <w:highlight w:val="yellow"/>
        </w:rPr>
        <w:t>: Victim of any nonconsensual sexual act proscribed by Federal, tribal, or state law, including when the victim lacks the capacity to consent.</w:t>
      </w:r>
    </w:p>
    <w:p w14:paraId="743CBE62" w14:textId="77777777" w:rsidR="00FB4A55" w:rsidRPr="00FB4A55" w:rsidRDefault="00FB4A55">
      <w:pPr>
        <w:numPr>
          <w:ilvl w:val="0"/>
          <w:numId w:val="141"/>
        </w:numPr>
        <w:spacing w:after="240"/>
        <w:ind w:left="0" w:firstLine="360"/>
        <w:jc w:val="both"/>
        <w:rPr>
          <w:rFonts w:cs="Calibri"/>
          <w:highlight w:val="yellow"/>
        </w:rPr>
      </w:pPr>
      <w:r w:rsidRPr="00FB4A55">
        <w:rPr>
          <w:rFonts w:cs="Calibri"/>
          <w:highlight w:val="yellow"/>
          <w:u w:val="single"/>
        </w:rPr>
        <w:t>Stalking</w:t>
      </w:r>
      <w:r w:rsidRPr="00FB4A55">
        <w:rPr>
          <w:rFonts w:cs="Calibri"/>
          <w:highlight w:val="yellow"/>
        </w:rPr>
        <w:t>: Victim of a course of conduct directed at a specific person that would cause a reasonable person to fear for his/her individual safety of others or suffer substantial emotional distress.</w:t>
      </w:r>
    </w:p>
    <w:p w14:paraId="5960A026" w14:textId="77777777" w:rsidR="00FB4A55" w:rsidRPr="00FB4A55" w:rsidRDefault="00FB4A55" w:rsidP="00FB4A55">
      <w:pPr>
        <w:spacing w:after="240"/>
        <w:jc w:val="both"/>
        <w:rPr>
          <w:highlight w:val="yellow"/>
        </w:rPr>
      </w:pPr>
      <w:r w:rsidRPr="00FB4A55">
        <w:rPr>
          <w:highlight w:val="yellow"/>
        </w:rPr>
        <w:t>A tenant who is a victim of domestic violence, dating violence, sexual assault, or stalking, as provided in HUD’s regulations at 24 CFR part 5, subpart L is eligible for an emergency transfer, if: the tenant reasonably believes that there is a threat of imminent harm from further violence if the tenant remains within the same unit. If the tenant is a victim of sexual assault, the tenant may also be eligible to transfer if the sexual assault occurred on the premises within the 90-calendar-day period preceding a request for an emergency transfer.  A tenant requesting an emergency transfer must expressly request the transfer in accordance with the procedures described in this plan.  Tenants who are not in good standing may still request an emergency transfer if they meet the eligibility requirements in this section.</w:t>
      </w:r>
    </w:p>
    <w:p w14:paraId="6AECB708" w14:textId="77777777" w:rsidR="00FB4A55" w:rsidRPr="00FB4A55" w:rsidRDefault="00FB4A55" w:rsidP="00FB4A55">
      <w:pPr>
        <w:spacing w:after="240"/>
        <w:jc w:val="both"/>
        <w:rPr>
          <w:rFonts w:cs="Calibri"/>
          <w:highlight w:val="yellow"/>
        </w:rPr>
      </w:pPr>
      <w:r w:rsidRPr="00FB4A55">
        <w:rPr>
          <w:rFonts w:cs="Calibri"/>
          <w:highlight w:val="yellow"/>
        </w:rPr>
        <w:t>A tenant, authorized household member, or affiliated individual, who meets any of the above definitions must also reasonably believe that he or she is threatened with imminent harm from further violence if he or she remains in his or her current housing unit.  This means the victim has reason to fear that if the victim does not receive a transfer the victim would suffer violence in the very near future.</w:t>
      </w:r>
    </w:p>
    <w:p w14:paraId="163696F5" w14:textId="77777777" w:rsidR="00FB4A55" w:rsidRPr="00FB4A55" w:rsidRDefault="00FB4A55" w:rsidP="00FB4A55">
      <w:pPr>
        <w:spacing w:after="240"/>
        <w:jc w:val="both"/>
        <w:rPr>
          <w:rFonts w:cs="Calibri"/>
          <w:highlight w:val="yellow"/>
        </w:rPr>
      </w:pPr>
      <w:r w:rsidRPr="00FB4A55">
        <w:rPr>
          <w:rFonts w:cs="Calibri"/>
          <w:highlight w:val="yellow"/>
        </w:rPr>
        <w:t>Victims of sexual assault may also qualify if the sexual assault occurred on the premises of the property from which the tenant is seeking to transfer, and that assault happened within the 90-calendar-day period before submission of a transfer request form.</w:t>
      </w:r>
    </w:p>
    <w:p w14:paraId="474A01F5" w14:textId="77777777" w:rsidR="00FB4A55" w:rsidRPr="00FB4A55" w:rsidRDefault="00FB4A55" w:rsidP="00FB4A55">
      <w:pPr>
        <w:spacing w:after="240"/>
        <w:jc w:val="center"/>
        <w:rPr>
          <w:rFonts w:cs="Calibri"/>
          <w:b/>
          <w:bCs/>
          <w:highlight w:val="yellow"/>
        </w:rPr>
      </w:pPr>
      <w:r w:rsidRPr="00FB4A55">
        <w:rPr>
          <w:rFonts w:cs="Calibri"/>
          <w:b/>
          <w:bCs/>
          <w:highlight w:val="yellow"/>
        </w:rPr>
        <w:t>CO-LESSEES</w:t>
      </w:r>
    </w:p>
    <w:p w14:paraId="7D39DC62" w14:textId="77777777" w:rsidR="00FB4A55" w:rsidRPr="00FB4A55" w:rsidRDefault="00FB4A55" w:rsidP="00FB4A55">
      <w:pPr>
        <w:spacing w:after="240"/>
        <w:jc w:val="both"/>
        <w:rPr>
          <w:rFonts w:cs="Calibri"/>
          <w:highlight w:val="yellow"/>
        </w:rPr>
      </w:pPr>
      <w:r w:rsidRPr="00FB4A55">
        <w:rPr>
          <w:rFonts w:cs="Calibri"/>
          <w:highlight w:val="yellow"/>
        </w:rPr>
        <w:t xml:space="preserve">If the perpetrator and the victim are co-lessees, the perpetrator still resides in the CSCoC provided housing unit, and the victim seeks an emergency transfer, staff must first inform the victim that they must initiate a process to bifurcate the lease.  Housing staff must advise them to submit the form with the transfer request.  Housing staff must submit any bifurcation documentation to _________.  See Section XXI, </w:t>
      </w:r>
      <w:r w:rsidRPr="00FB4A55">
        <w:rPr>
          <w:rFonts w:cs="Calibri"/>
          <w:i/>
          <w:iCs/>
          <w:highlight w:val="yellow"/>
        </w:rPr>
        <w:t>Compliance with Violence Against Women Act</w:t>
      </w:r>
      <w:r w:rsidRPr="00FB4A55">
        <w:rPr>
          <w:rFonts w:cs="Calibri"/>
          <w:highlight w:val="yellow"/>
        </w:rPr>
        <w:t xml:space="preserve"> for information on bifurcation.  </w:t>
      </w:r>
    </w:p>
    <w:p w14:paraId="2FC88746" w14:textId="77777777" w:rsidR="00FB4A55" w:rsidRPr="00FB4A55" w:rsidRDefault="00FB4A55" w:rsidP="00FB4A55">
      <w:pPr>
        <w:spacing w:after="240"/>
        <w:jc w:val="center"/>
        <w:rPr>
          <w:rFonts w:cs="Calibri"/>
          <w:b/>
          <w:bCs/>
          <w:highlight w:val="yellow"/>
        </w:rPr>
      </w:pPr>
      <w:r w:rsidRPr="00FB4A55">
        <w:rPr>
          <w:rFonts w:cs="Calibri"/>
          <w:b/>
          <w:bCs/>
          <w:highlight w:val="yellow"/>
        </w:rPr>
        <w:t>AUTHORIZED OCCUPANTS</w:t>
      </w:r>
    </w:p>
    <w:p w14:paraId="3AFA6305" w14:textId="77777777" w:rsidR="00FB4A55" w:rsidRPr="00FB4A55" w:rsidRDefault="00FB4A55" w:rsidP="00FB4A55">
      <w:pPr>
        <w:spacing w:after="240"/>
        <w:jc w:val="both"/>
        <w:rPr>
          <w:rFonts w:cs="Calibri"/>
          <w:highlight w:val="yellow"/>
        </w:rPr>
      </w:pPr>
      <w:r w:rsidRPr="00FB4A55">
        <w:rPr>
          <w:rFonts w:cs="Calibri"/>
          <w:highlight w:val="yellow"/>
        </w:rPr>
        <w:t xml:space="preserve">If the perpetrator is the sole lessee (sole signatory of the lease) and an authorized occupant seeks an emergency transfer under VAWA, the authorized occupant must first establish eligibility to succeed to the lease under Section XXI of VAWA, and Housing staff must initiate proceedings to terminate the tenancy of the perpetrator.  If at least one authorized occupant has eligible immigration status, the family has 90 calendar days from the date of bifurcation to establish eligibility to succeed to the lease or to find alternative housing.  If </w:t>
      </w:r>
      <w:r w:rsidRPr="00FB4A55">
        <w:rPr>
          <w:rFonts w:cs="Calibri"/>
          <w:highlight w:val="yellow"/>
        </w:rPr>
        <w:lastRenderedPageBreak/>
        <w:t>no authorized occupants have eligible immigration status, the family is limited to 30 calendar days from the bifurcation to establish eligibility unless the authorized household member-victim is a VAWA self-petitioner.</w:t>
      </w:r>
    </w:p>
    <w:p w14:paraId="7833C8F4" w14:textId="77777777" w:rsidR="00FB4A55" w:rsidRPr="00FB4A55" w:rsidRDefault="00FB4A55" w:rsidP="00FB4A55">
      <w:pPr>
        <w:spacing w:after="240"/>
        <w:jc w:val="center"/>
        <w:rPr>
          <w:rFonts w:cs="Calibri"/>
          <w:b/>
          <w:bCs/>
          <w:highlight w:val="yellow"/>
        </w:rPr>
      </w:pPr>
      <w:r w:rsidRPr="00FB4A55">
        <w:rPr>
          <w:rFonts w:cs="Calibri"/>
          <w:b/>
          <w:bCs/>
          <w:highlight w:val="yellow"/>
        </w:rPr>
        <w:t>VAWA SELF-PETITIONERS</w:t>
      </w:r>
    </w:p>
    <w:p w14:paraId="75B130F9" w14:textId="77777777" w:rsidR="00FB4A55" w:rsidRPr="00FB4A55" w:rsidRDefault="00FB4A55" w:rsidP="00FB4A55">
      <w:pPr>
        <w:spacing w:after="240"/>
        <w:rPr>
          <w:rFonts w:cs="Calibri"/>
          <w:highlight w:val="yellow"/>
        </w:rPr>
      </w:pPr>
      <w:r w:rsidRPr="00FB4A55">
        <w:rPr>
          <w:rFonts w:cs="Calibri"/>
          <w:highlight w:val="yellow"/>
        </w:rPr>
        <w:t xml:space="preserve">If the perpetrator is the sole lessee with eligible immigration status, and authorized occupant may qualify for eligible immigration status as a VAWA self-petitioner.  </w:t>
      </w:r>
    </w:p>
    <w:p w14:paraId="29B0B5DF" w14:textId="77777777" w:rsidR="00FB4A55" w:rsidRPr="00FB4A55" w:rsidRDefault="00FB4A55" w:rsidP="00FB4A55">
      <w:pPr>
        <w:spacing w:after="240"/>
        <w:rPr>
          <w:rFonts w:cs="Calibri"/>
          <w:highlight w:val="yellow"/>
        </w:rPr>
      </w:pPr>
      <w:r w:rsidRPr="00FB4A55">
        <w:rPr>
          <w:rFonts w:cs="Calibri"/>
          <w:highlight w:val="yellow"/>
        </w:rPr>
        <w:t>To apply as a VAWA self-petitioner, the authorized occupant must submit INS Form I-360, INS Form I-130, or INS Form 797 to Housing staff.</w:t>
      </w:r>
    </w:p>
    <w:p w14:paraId="7B3DF7C3" w14:textId="77777777" w:rsidR="00FB4A55" w:rsidRPr="00FB4A55" w:rsidRDefault="00FB4A55" w:rsidP="00FB4A55">
      <w:pPr>
        <w:spacing w:after="60"/>
        <w:rPr>
          <w:rFonts w:cs="Calibri"/>
          <w:highlight w:val="yellow"/>
        </w:rPr>
      </w:pPr>
      <w:r w:rsidRPr="00FB4A55">
        <w:rPr>
          <w:rFonts w:cs="Calibri"/>
          <w:highlight w:val="yellow"/>
        </w:rPr>
        <w:t>If Housing staff receives one of these forms from an authorized occupant, they must treat the individual as having satisfactory immigration status during the verification process.</w:t>
      </w:r>
    </w:p>
    <w:p w14:paraId="1356E62F" w14:textId="77777777" w:rsidR="00FB4A55" w:rsidRPr="00FB4A55" w:rsidRDefault="00FB4A55">
      <w:pPr>
        <w:numPr>
          <w:ilvl w:val="0"/>
          <w:numId w:val="141"/>
        </w:numPr>
        <w:spacing w:after="60"/>
        <w:ind w:left="0" w:firstLine="360"/>
        <w:jc w:val="both"/>
        <w:rPr>
          <w:rFonts w:cs="Calibri"/>
          <w:highlight w:val="yellow"/>
        </w:rPr>
      </w:pPr>
      <w:r w:rsidRPr="00FB4A55">
        <w:rPr>
          <w:rFonts w:cs="Calibri"/>
          <w:highlight w:val="yellow"/>
        </w:rPr>
        <w:t xml:space="preserve">During this time, Housing staff should not delay, deny, reduce, or terminate assistance to the authorized occupant and should proceed with transferring the lease to the authorized occupant if he or she is otherwise eligible.  </w:t>
      </w:r>
    </w:p>
    <w:p w14:paraId="07C953BF" w14:textId="77777777" w:rsidR="00FB4A55" w:rsidRPr="00FB4A55" w:rsidRDefault="00FB4A55">
      <w:pPr>
        <w:numPr>
          <w:ilvl w:val="0"/>
          <w:numId w:val="141"/>
        </w:numPr>
        <w:spacing w:after="60"/>
        <w:ind w:left="0" w:firstLine="360"/>
        <w:jc w:val="both"/>
        <w:rPr>
          <w:rFonts w:cs="Calibri"/>
          <w:highlight w:val="yellow"/>
        </w:rPr>
      </w:pPr>
      <w:r w:rsidRPr="00FB4A55">
        <w:rPr>
          <w:rFonts w:cs="Calibri"/>
          <w:highlight w:val="yellow"/>
        </w:rPr>
        <w:t>If the self-petitioner seeks an emergency transfer, Housing staff must provide him or her with the emergency transfer application and advise them that they can only apply for a transfer once he or she is a lessee.</w:t>
      </w:r>
    </w:p>
    <w:p w14:paraId="519E827A" w14:textId="77777777" w:rsidR="00FB4A55" w:rsidRPr="00FB4A55" w:rsidRDefault="00FB4A55">
      <w:pPr>
        <w:numPr>
          <w:ilvl w:val="0"/>
          <w:numId w:val="141"/>
        </w:numPr>
        <w:spacing w:after="60"/>
        <w:ind w:left="0" w:firstLine="360"/>
        <w:jc w:val="both"/>
        <w:rPr>
          <w:rFonts w:cs="Calibri"/>
          <w:highlight w:val="yellow"/>
        </w:rPr>
      </w:pPr>
      <w:r w:rsidRPr="00FB4A55">
        <w:rPr>
          <w:rFonts w:cs="Calibri"/>
          <w:highlight w:val="yellow"/>
        </w:rPr>
        <w:t>If a self-petitioner has become a lessee and submits and emergency transfer request during the verification process, staff must process the emergency transfer request.</w:t>
      </w:r>
    </w:p>
    <w:p w14:paraId="49007616" w14:textId="77777777" w:rsidR="00FB4A55" w:rsidRPr="00FB4A55" w:rsidRDefault="00FB4A55" w:rsidP="00FB4A55">
      <w:pPr>
        <w:spacing w:after="60"/>
        <w:jc w:val="both"/>
        <w:rPr>
          <w:rFonts w:cs="Calibri"/>
          <w:highlight w:val="yellow"/>
        </w:rPr>
      </w:pPr>
      <w:r w:rsidRPr="00FB4A55">
        <w:rPr>
          <w:rFonts w:cs="Calibri"/>
          <w:highlight w:val="yellow"/>
        </w:rPr>
        <w:t>To verify the self-petitioner’s status, staff must initiate verification in the DHS SAVE system in accordance with HUDPIH 2017-02(HA).  Once Housing staff has entered the requisite information into the SAVE system, staff must wait for a final determination from the SAVE system.</w:t>
      </w:r>
    </w:p>
    <w:p w14:paraId="31BEF5D2" w14:textId="77777777" w:rsidR="00FB4A55" w:rsidRPr="00FB4A55" w:rsidRDefault="00FB4A55">
      <w:pPr>
        <w:numPr>
          <w:ilvl w:val="0"/>
          <w:numId w:val="141"/>
        </w:numPr>
        <w:spacing w:after="60"/>
        <w:ind w:left="0" w:firstLine="360"/>
        <w:jc w:val="both"/>
        <w:rPr>
          <w:rFonts w:cs="Calibri"/>
          <w:highlight w:val="yellow"/>
        </w:rPr>
      </w:pPr>
      <w:r w:rsidRPr="00FB4A55">
        <w:rPr>
          <w:rFonts w:cs="Calibri"/>
          <w:highlight w:val="yellow"/>
        </w:rPr>
        <w:t>If Housing staff receives a final determination from the SAVE system denying the individual’s VAWA self-petition, Housing staff must cancel the bifurcation, cancel or deny the emergency transfer request, if applicable, and notify the self-petitioner.</w:t>
      </w:r>
    </w:p>
    <w:p w14:paraId="05E94C3D" w14:textId="38E7D341" w:rsidR="00FB4A55" w:rsidRDefault="00FB4A55">
      <w:pPr>
        <w:numPr>
          <w:ilvl w:val="0"/>
          <w:numId w:val="141"/>
        </w:numPr>
        <w:spacing w:after="120"/>
        <w:ind w:left="0" w:firstLine="360"/>
        <w:jc w:val="both"/>
        <w:rPr>
          <w:rFonts w:cs="Calibri"/>
          <w:highlight w:val="yellow"/>
        </w:rPr>
      </w:pPr>
      <w:r w:rsidRPr="00FB4A55">
        <w:rPr>
          <w:rFonts w:cs="Calibri"/>
          <w:highlight w:val="yellow"/>
        </w:rPr>
        <w:t>If Housing staff receives a final determination granting the self-petition, Housing staff must proceed with processing any outstanding requests.</w:t>
      </w:r>
    </w:p>
    <w:p w14:paraId="30A047D2" w14:textId="0FF009A6" w:rsidR="00F80BC0" w:rsidRDefault="00F80BC0" w:rsidP="00F80BC0">
      <w:pPr>
        <w:spacing w:after="120"/>
        <w:jc w:val="both"/>
        <w:rPr>
          <w:rFonts w:cs="Calibri"/>
          <w:highlight w:val="yellow"/>
        </w:rPr>
      </w:pPr>
    </w:p>
    <w:p w14:paraId="048F2290" w14:textId="77777777" w:rsidR="00FB4A55" w:rsidRPr="00FB4A55" w:rsidRDefault="00FB4A55" w:rsidP="00FB4A5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FFFF"/>
        <w:spacing w:after="240"/>
        <w:jc w:val="center"/>
        <w:rPr>
          <w:rFonts w:cs="Calibri"/>
          <w:b/>
          <w:smallCaps/>
          <w:highlight w:val="yellow"/>
        </w:rPr>
      </w:pPr>
      <w:r w:rsidRPr="00FB4A55">
        <w:rPr>
          <w:rFonts w:cs="Calibri"/>
          <w:b/>
          <w:smallCaps/>
          <w:sz w:val="32"/>
          <w:szCs w:val="32"/>
          <w:highlight w:val="yellow"/>
        </w:rPr>
        <w:t>Intimidated Witness</w:t>
      </w:r>
      <w:r w:rsidRPr="00FB4A55">
        <w:rPr>
          <w:rFonts w:cs="Calibri"/>
          <w:b/>
          <w:smallCaps/>
          <w:sz w:val="32"/>
          <w:szCs w:val="32"/>
          <w:highlight w:val="yellow"/>
        </w:rPr>
        <w:br/>
      </w:r>
    </w:p>
    <w:p w14:paraId="022DA876" w14:textId="77777777" w:rsidR="00FB4A55" w:rsidRPr="00FB4A55" w:rsidRDefault="00FB4A55" w:rsidP="00FB4A55">
      <w:pPr>
        <w:spacing w:after="120"/>
        <w:jc w:val="center"/>
        <w:rPr>
          <w:rFonts w:cs="Calibri"/>
          <w:b/>
          <w:bCs/>
          <w:highlight w:val="yellow"/>
        </w:rPr>
      </w:pPr>
      <w:r w:rsidRPr="00FB4A55">
        <w:rPr>
          <w:rFonts w:cs="Calibri"/>
          <w:b/>
          <w:bCs/>
          <w:highlight w:val="yellow"/>
        </w:rPr>
        <w:t>Eligibility Standard</w:t>
      </w:r>
    </w:p>
    <w:p w14:paraId="2CA4688C" w14:textId="77777777" w:rsidR="00FB4A55" w:rsidRPr="00FB4A55" w:rsidRDefault="00FB4A55" w:rsidP="00FB4A55">
      <w:pPr>
        <w:spacing w:after="60"/>
        <w:rPr>
          <w:rFonts w:cs="Calibri"/>
          <w:highlight w:val="yellow"/>
        </w:rPr>
      </w:pPr>
      <w:r w:rsidRPr="00FB4A55">
        <w:rPr>
          <w:rFonts w:cs="Calibri"/>
          <w:highlight w:val="yellow"/>
        </w:rPr>
        <w:t>To qualify for an emergency transfer as an Intimidated Witness (IW), a tenant or authorized household member must demonstrate that they meet the following definitions:</w:t>
      </w:r>
    </w:p>
    <w:p w14:paraId="3A4B86BF" w14:textId="77777777" w:rsidR="00FB4A55" w:rsidRPr="00FB4A55" w:rsidRDefault="00FB4A55" w:rsidP="00FB4A55">
      <w:pPr>
        <w:spacing w:after="60"/>
        <w:jc w:val="both"/>
        <w:rPr>
          <w:rFonts w:cs="Calibri"/>
          <w:highlight w:val="yellow"/>
        </w:rPr>
      </w:pPr>
      <w:r w:rsidRPr="00FB4A55">
        <w:rPr>
          <w:rFonts w:cs="Calibri"/>
          <w:highlight w:val="yellow"/>
        </w:rPr>
        <w:lastRenderedPageBreak/>
        <w:t xml:space="preserve">A tenant or authorized household member is referred by, and cooperates with, the local police department in the anticipated arrest and/or prosecution of an individual who committed a crime, and as a result of such cooperation: </w:t>
      </w:r>
    </w:p>
    <w:p w14:paraId="7E7D2D97" w14:textId="77777777" w:rsidR="00FB4A55" w:rsidRPr="00FB4A55" w:rsidRDefault="00FB4A55">
      <w:pPr>
        <w:pStyle w:val="ListParagraph"/>
        <w:numPr>
          <w:ilvl w:val="0"/>
          <w:numId w:val="143"/>
        </w:numPr>
        <w:spacing w:after="60"/>
        <w:contextualSpacing w:val="0"/>
        <w:jc w:val="both"/>
        <w:rPr>
          <w:rFonts w:cs="Calibri"/>
          <w:highlight w:val="yellow"/>
        </w:rPr>
      </w:pPr>
      <w:r w:rsidRPr="00FB4A55">
        <w:rPr>
          <w:rFonts w:cs="Calibri"/>
          <w:highlight w:val="yellow"/>
        </w:rPr>
        <w:t xml:space="preserve">the police department anticipates that they will suffer threat or physical injury once his or her cooperation with law enforcement becomes known to the perpetrator and/or the perpetrator’s associates; </w:t>
      </w:r>
    </w:p>
    <w:p w14:paraId="234B02C0" w14:textId="77777777" w:rsidR="00FB4A55" w:rsidRPr="00FB4A55" w:rsidRDefault="00FB4A55">
      <w:pPr>
        <w:pStyle w:val="ListParagraph"/>
        <w:numPr>
          <w:ilvl w:val="0"/>
          <w:numId w:val="143"/>
        </w:numPr>
        <w:spacing w:after="60"/>
        <w:contextualSpacing w:val="0"/>
        <w:jc w:val="both"/>
        <w:rPr>
          <w:rFonts w:cs="Calibri"/>
          <w:highlight w:val="yellow"/>
        </w:rPr>
      </w:pPr>
      <w:r w:rsidRPr="00FB4A55">
        <w:rPr>
          <w:rFonts w:cs="Calibri"/>
          <w:highlight w:val="yellow"/>
        </w:rPr>
        <w:t>the perpetrator or the perpetrator’s associates know where the tenant or authorized household member lives; and</w:t>
      </w:r>
    </w:p>
    <w:p w14:paraId="0FB55433" w14:textId="77777777" w:rsidR="00FB4A55" w:rsidRPr="00FB4A55" w:rsidRDefault="00FB4A55">
      <w:pPr>
        <w:pStyle w:val="ListParagraph"/>
        <w:numPr>
          <w:ilvl w:val="0"/>
          <w:numId w:val="143"/>
        </w:numPr>
        <w:spacing w:after="120"/>
        <w:contextualSpacing w:val="0"/>
        <w:jc w:val="both"/>
        <w:rPr>
          <w:rFonts w:cs="Calibri"/>
          <w:highlight w:val="yellow"/>
        </w:rPr>
      </w:pPr>
      <w:r w:rsidRPr="00FB4A55">
        <w:rPr>
          <w:rFonts w:cs="Calibri"/>
          <w:highlight w:val="yellow"/>
        </w:rPr>
        <w:t>the police department anticipates that the tenant or authorized household member will suffer if they continue to live in the current housing unit.</w:t>
      </w:r>
    </w:p>
    <w:p w14:paraId="3A6BD0D7" w14:textId="77777777" w:rsidR="00FB4A55" w:rsidRPr="00FB4A55" w:rsidRDefault="00FB4A55" w:rsidP="00FB4A55">
      <w:pPr>
        <w:spacing w:after="60"/>
        <w:jc w:val="both"/>
        <w:rPr>
          <w:highlight w:val="yellow"/>
        </w:rPr>
      </w:pPr>
    </w:p>
    <w:p w14:paraId="5537974E" w14:textId="77777777" w:rsidR="00FB4A55" w:rsidRPr="00FB4A55" w:rsidRDefault="00FB4A55" w:rsidP="00FB4A55">
      <w:pPr>
        <w:spacing w:after="60"/>
        <w:jc w:val="both"/>
        <w:rPr>
          <w:highlight w:val="yellow"/>
        </w:rPr>
      </w:pPr>
    </w:p>
    <w:p w14:paraId="50B464F3" w14:textId="77777777" w:rsidR="00FB4A55" w:rsidRPr="00FB4A55" w:rsidRDefault="00FB4A55" w:rsidP="00FB4A5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FFFF"/>
        <w:spacing w:after="240"/>
        <w:jc w:val="center"/>
        <w:rPr>
          <w:rFonts w:cs="Calibri"/>
          <w:b/>
          <w:smallCaps/>
          <w:highlight w:val="yellow"/>
        </w:rPr>
      </w:pPr>
      <w:r w:rsidRPr="00FB4A55">
        <w:rPr>
          <w:rFonts w:cs="Calibri"/>
          <w:b/>
          <w:smallCaps/>
          <w:sz w:val="32"/>
          <w:szCs w:val="32"/>
          <w:highlight w:val="yellow"/>
        </w:rPr>
        <w:t>Victims of a Traumatic Incident</w:t>
      </w:r>
      <w:r w:rsidRPr="00FB4A55">
        <w:rPr>
          <w:rFonts w:cs="Calibri"/>
          <w:b/>
          <w:smallCaps/>
          <w:sz w:val="32"/>
          <w:szCs w:val="32"/>
          <w:highlight w:val="yellow"/>
        </w:rPr>
        <w:br/>
      </w:r>
    </w:p>
    <w:p w14:paraId="3391A169" w14:textId="77777777" w:rsidR="00FB4A55" w:rsidRPr="00FB4A55" w:rsidRDefault="00FB4A55" w:rsidP="00FB4A55">
      <w:pPr>
        <w:spacing w:after="120"/>
        <w:jc w:val="center"/>
        <w:rPr>
          <w:rFonts w:cs="Calibri"/>
          <w:b/>
          <w:bCs/>
          <w:highlight w:val="yellow"/>
        </w:rPr>
      </w:pPr>
      <w:r w:rsidRPr="00FB4A55">
        <w:rPr>
          <w:rFonts w:cs="Calibri"/>
          <w:b/>
          <w:bCs/>
          <w:highlight w:val="yellow"/>
        </w:rPr>
        <w:t>Eligibility Standard</w:t>
      </w:r>
    </w:p>
    <w:p w14:paraId="74E9F888" w14:textId="77777777" w:rsidR="00FB4A55" w:rsidRPr="00FB4A55" w:rsidRDefault="00FB4A55" w:rsidP="00FB4A55">
      <w:pPr>
        <w:spacing w:after="120"/>
        <w:jc w:val="both"/>
        <w:rPr>
          <w:rFonts w:cs="Calibri"/>
          <w:highlight w:val="yellow"/>
        </w:rPr>
      </w:pPr>
      <w:r w:rsidRPr="00FB4A55">
        <w:rPr>
          <w:rFonts w:cs="Calibri"/>
          <w:highlight w:val="yellow"/>
        </w:rPr>
        <w:t>To qualify for an emergency transfer as a Victim of a Traumatic Incident (VTI), a tenant or authorized household member must demonstrate that a tenant or authorized household member who is either the victim of a violent felony on development grounds or witnessed a violent felony committed against another household or family member (as defined in Section XI.B.2.a.(2)</w:t>
      </w:r>
      <w:r w:rsidRPr="00FB4A55">
        <w:rPr>
          <w:rStyle w:val="FootnoteReference"/>
          <w:rFonts w:cs="Calibri"/>
          <w:highlight w:val="yellow"/>
        </w:rPr>
        <w:footnoteReference w:id="5"/>
      </w:r>
      <w:r w:rsidRPr="00FB4A55">
        <w:rPr>
          <w:rFonts w:cs="Calibri"/>
          <w:highlight w:val="yellow"/>
        </w:rPr>
        <w:t xml:space="preserve"> on development grounds, and as a result of the violent felony suffered trauma and will continue to suffer if they continue to live in the current residence.</w:t>
      </w:r>
    </w:p>
    <w:p w14:paraId="4EF06CDF" w14:textId="77777777" w:rsidR="00FB4A55" w:rsidRPr="00FB4A55" w:rsidRDefault="00FB4A55" w:rsidP="00FB4A5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FFFF"/>
        <w:spacing w:after="240"/>
        <w:jc w:val="center"/>
        <w:rPr>
          <w:rFonts w:cs="Calibri"/>
          <w:b/>
          <w:smallCaps/>
          <w:highlight w:val="yellow"/>
        </w:rPr>
      </w:pPr>
      <w:r w:rsidRPr="00FB4A55">
        <w:rPr>
          <w:rFonts w:cs="Calibri"/>
          <w:b/>
          <w:smallCaps/>
          <w:sz w:val="32"/>
          <w:szCs w:val="32"/>
          <w:highlight w:val="yellow"/>
        </w:rPr>
        <w:t>Initiating a Transfer</w:t>
      </w:r>
      <w:r w:rsidRPr="00FB4A55">
        <w:rPr>
          <w:rFonts w:cs="Calibri"/>
          <w:b/>
          <w:smallCaps/>
          <w:sz w:val="32"/>
          <w:szCs w:val="32"/>
          <w:highlight w:val="yellow"/>
        </w:rPr>
        <w:br/>
      </w:r>
    </w:p>
    <w:p w14:paraId="788D7D67" w14:textId="77777777" w:rsidR="00FB4A55" w:rsidRPr="00FB4A55" w:rsidRDefault="00FB4A55" w:rsidP="00FB4A55">
      <w:pPr>
        <w:spacing w:after="240"/>
        <w:rPr>
          <w:rFonts w:cs="Calibri"/>
          <w:highlight w:val="yellow"/>
        </w:rPr>
      </w:pPr>
      <w:r w:rsidRPr="00FB4A55">
        <w:rPr>
          <w:rFonts w:cs="Calibri"/>
          <w:highlight w:val="yellow"/>
        </w:rPr>
        <w:t>If a tenant believes they require an emergency transfer, Housing staff must provide the tenant an Emergency Transfer Request Form.  The form is attached hereto.</w:t>
      </w:r>
    </w:p>
    <w:p w14:paraId="6710C2D0" w14:textId="77777777" w:rsidR="00FB4A55" w:rsidRPr="00FB4A55" w:rsidRDefault="00FB4A55" w:rsidP="00FB4A55">
      <w:pPr>
        <w:spacing w:after="240"/>
        <w:jc w:val="center"/>
        <w:rPr>
          <w:rFonts w:cs="Calibri"/>
          <w:b/>
          <w:bCs/>
          <w:highlight w:val="yellow"/>
        </w:rPr>
      </w:pPr>
      <w:r w:rsidRPr="00FB4A55">
        <w:rPr>
          <w:rFonts w:cs="Calibri"/>
          <w:b/>
          <w:bCs/>
          <w:highlight w:val="yellow"/>
        </w:rPr>
        <w:t>Documentation</w:t>
      </w:r>
    </w:p>
    <w:p w14:paraId="090EA312" w14:textId="77777777" w:rsidR="00FB4A55" w:rsidRPr="00FB4A55" w:rsidRDefault="00FB4A55" w:rsidP="00FB4A55">
      <w:pPr>
        <w:spacing w:after="240"/>
        <w:jc w:val="both"/>
        <w:rPr>
          <w:highlight w:val="yellow"/>
        </w:rPr>
      </w:pPr>
      <w:r w:rsidRPr="00FB4A55">
        <w:rPr>
          <w:highlight w:val="yellow"/>
        </w:rPr>
        <w:t xml:space="preserve">To request an emergency transfer, the tenant shall notify HP’s management office and submit a written request for a transfer to </w:t>
      </w:r>
      <w:r w:rsidRPr="00FB4A55">
        <w:rPr>
          <w:b/>
          <w:highlight w:val="yellow"/>
        </w:rPr>
        <w:t>[</w:t>
      </w:r>
      <w:r w:rsidRPr="00FB4A55">
        <w:rPr>
          <w:b/>
          <w:highlight w:val="yellow"/>
          <w:u w:val="single"/>
        </w:rPr>
        <w:t>HP to</w:t>
      </w:r>
      <w:r w:rsidRPr="00FB4A55">
        <w:rPr>
          <w:highlight w:val="yellow"/>
          <w:u w:val="single"/>
        </w:rPr>
        <w:t xml:space="preserve"> </w:t>
      </w:r>
      <w:r w:rsidRPr="00FB4A55">
        <w:rPr>
          <w:b/>
          <w:highlight w:val="yellow"/>
          <w:u w:val="single"/>
        </w:rPr>
        <w:t>insert location</w:t>
      </w:r>
      <w:r w:rsidRPr="00FB4A55">
        <w:rPr>
          <w:b/>
          <w:highlight w:val="yellow"/>
        </w:rPr>
        <w:t>]</w:t>
      </w:r>
      <w:r w:rsidRPr="00FB4A55">
        <w:rPr>
          <w:highlight w:val="yellow"/>
        </w:rPr>
        <w:t xml:space="preserve">. HP will provide reasonable accommodations to this policy for individuals with disabilities.  The tenant’s written request for an emergency transfer should include either: A statement expressing that the tenant reasonably believes that there is a threat of imminent harm from further violence if the tenant were to remain in the same dwelling unit assisted under HP’s program; or a statement </w:t>
      </w:r>
      <w:r w:rsidRPr="00FB4A55">
        <w:rPr>
          <w:highlight w:val="yellow"/>
        </w:rPr>
        <w:lastRenderedPageBreak/>
        <w:t xml:space="preserve">that the tenant was a sexual assault victim and that the sexual assault occurred on the premises during the 90-calendar-day period preceding the tenant’s request for an emergency transfer.  </w:t>
      </w:r>
    </w:p>
    <w:p w14:paraId="1192A689" w14:textId="77777777" w:rsidR="00FB4A55" w:rsidRPr="00FB4A55" w:rsidRDefault="00FB4A55" w:rsidP="00FB4A55">
      <w:pPr>
        <w:spacing w:after="240"/>
        <w:jc w:val="both"/>
        <w:rPr>
          <w:rFonts w:cs="Calibri"/>
          <w:highlight w:val="yellow"/>
        </w:rPr>
      </w:pPr>
      <w:r w:rsidRPr="00FB4A55">
        <w:rPr>
          <w:rFonts w:cs="Calibri"/>
          <w:highlight w:val="yellow"/>
        </w:rPr>
        <w:t>To establish eligibility for an emergency transfer, the VAWA victim</w:t>
      </w:r>
      <w:r w:rsidRPr="00FB4A55">
        <w:rPr>
          <w:rStyle w:val="FootnoteReference"/>
          <w:rFonts w:cs="Calibri"/>
          <w:highlight w:val="yellow"/>
        </w:rPr>
        <w:footnoteReference w:id="6"/>
      </w:r>
      <w:r w:rsidRPr="00FB4A55">
        <w:rPr>
          <w:rFonts w:cs="Calibri"/>
          <w:highlight w:val="yellow"/>
        </w:rPr>
        <w:t>, IW, or VTI must submit a completed CSCoC Emergency Transfer Request Form, including the signed certification establishing that they meet the eligibility standard.  The form can be submitted _______________, or to the Housing staff.</w:t>
      </w:r>
    </w:p>
    <w:p w14:paraId="420B83B3" w14:textId="77777777" w:rsidR="00FB4A55" w:rsidRPr="00FB4A55" w:rsidRDefault="00FB4A55" w:rsidP="00FB4A55">
      <w:pPr>
        <w:spacing w:after="240"/>
        <w:jc w:val="center"/>
        <w:rPr>
          <w:rFonts w:cs="Calibri"/>
          <w:b/>
          <w:bCs/>
          <w:highlight w:val="yellow"/>
        </w:rPr>
      </w:pPr>
      <w:r w:rsidRPr="00FB4A55">
        <w:rPr>
          <w:rFonts w:cs="Calibri"/>
          <w:b/>
          <w:bCs/>
          <w:highlight w:val="yellow"/>
        </w:rPr>
        <w:t>Confidentiality</w:t>
      </w:r>
    </w:p>
    <w:p w14:paraId="4EC85121" w14:textId="77777777" w:rsidR="00FB4A55" w:rsidRPr="00FB4A55" w:rsidRDefault="00FB4A55" w:rsidP="00FB4A55">
      <w:pPr>
        <w:spacing w:after="240"/>
        <w:jc w:val="both"/>
        <w:rPr>
          <w:highlight w:val="yellow"/>
        </w:rPr>
      </w:pPr>
      <w:r w:rsidRPr="00FB4A55">
        <w:rPr>
          <w:highlight w:val="yellow"/>
        </w:rPr>
        <w:t xml:space="preserve">HP will keep confidential any information that the tenant submits in requesting an emergency transfer, and information about the emergency transfer, unless the tenant gives HP written permission to release the information on a time limited basis, or disclosure of the information is required by law or </w:t>
      </w:r>
      <w:r w:rsidRPr="00FB4A55">
        <w:rPr>
          <w:color w:val="000000"/>
          <w:highlight w:val="yellow"/>
          <w:shd w:val="clear" w:color="auto" w:fill="FFFFFF"/>
        </w:rPr>
        <w:t xml:space="preserve">required </w:t>
      </w:r>
      <w:r w:rsidRPr="00FB4A55">
        <w:rPr>
          <w:rFonts w:eastAsiaTheme="minorHAnsi"/>
          <w:highlight w:val="yellow"/>
        </w:rPr>
        <w:t>for use in an eviction proceeding or hearing regarding termination of assistance from the covered program</w:t>
      </w:r>
      <w:r w:rsidRPr="00FB4A55">
        <w:rPr>
          <w:highlight w:val="yellow"/>
        </w:rPr>
        <w:t xml:space="preserve">. This includes keeping confidential the new location of the dwelling unit of the </w:t>
      </w:r>
      <w:proofErr w:type="gramStart"/>
      <w:r w:rsidRPr="00FB4A55">
        <w:rPr>
          <w:highlight w:val="yellow"/>
        </w:rPr>
        <w:t>tenant, if</w:t>
      </w:r>
      <w:proofErr w:type="gramEnd"/>
      <w:r w:rsidRPr="00FB4A55">
        <w:rPr>
          <w:highlight w:val="yellow"/>
        </w:rPr>
        <w:t xml:space="preserve"> one is provided.  See the Notice of Occupancy Rights under the Violence Against Women Act for All Tenants for more information about HP’s responsibility to maintain the confidentiality of information related to incidents of domestic violence, dating violence, sexual assault, or stalking.</w:t>
      </w:r>
    </w:p>
    <w:p w14:paraId="75DD366D" w14:textId="77777777" w:rsidR="00FB4A55" w:rsidRPr="00FB4A55" w:rsidRDefault="00FB4A55" w:rsidP="00FB4A55">
      <w:pPr>
        <w:spacing w:after="240"/>
        <w:jc w:val="center"/>
        <w:rPr>
          <w:rFonts w:cs="Calibri"/>
          <w:b/>
          <w:bCs/>
          <w:highlight w:val="yellow"/>
        </w:rPr>
      </w:pPr>
      <w:r w:rsidRPr="00FB4A55">
        <w:rPr>
          <w:rFonts w:cs="Calibri"/>
          <w:b/>
          <w:bCs/>
          <w:highlight w:val="yellow"/>
        </w:rPr>
        <w:t>Emergency Transfer Timing &amp; Availability</w:t>
      </w:r>
    </w:p>
    <w:p w14:paraId="427DF2D3" w14:textId="77777777" w:rsidR="00FB4A55" w:rsidRPr="00FB4A55" w:rsidRDefault="00FB4A55" w:rsidP="00FB4A55">
      <w:pPr>
        <w:spacing w:after="240"/>
        <w:jc w:val="both"/>
        <w:rPr>
          <w:highlight w:val="yellow"/>
        </w:rPr>
      </w:pPr>
      <w:r w:rsidRPr="00FB4A55">
        <w:rPr>
          <w:highlight w:val="yellow"/>
        </w:rPr>
        <w:t xml:space="preserve">HP cannot guarantee that a transfer request will be approved or how long it will take to process a transfer request.  HP will, however, act as quickly as possible to move a tenant who qualifies for an emergency transfer to another unit, subject to availability and safety of a unit.  If a tenant reasonably believes a proposed transfer would not be safe, the tenant may request a transfer to a different unit.  If a unit is available, the transferred tenant must agree to abide by the terms and conditions that govern occupancy in the unit to which the tenant has been transferred.  HP may be unable to transfer a tenant to a particular unit if the tenant has not or cannot establish eligibility for that unit.  </w:t>
      </w:r>
    </w:p>
    <w:p w14:paraId="74D972F9" w14:textId="77777777" w:rsidR="00FB4A55" w:rsidRPr="00FB4A55" w:rsidRDefault="00FB4A55" w:rsidP="00FB4A55">
      <w:pPr>
        <w:spacing w:after="240"/>
        <w:jc w:val="both"/>
        <w:rPr>
          <w:highlight w:val="yellow"/>
        </w:rPr>
      </w:pPr>
      <w:r w:rsidRPr="00FB4A55">
        <w:rPr>
          <w:highlight w:val="yellow"/>
        </w:rPr>
        <w:t xml:space="preserve">If HP has no safe and available units for which a tenant who needs an emergency is eligible, HP will assist the tenant in identifying other housing providers who may have safe and available units to which the tenant could move.  At the tenant’s request, HP will also assist </w:t>
      </w:r>
      <w:r w:rsidRPr="00FB4A55">
        <w:rPr>
          <w:highlight w:val="yellow"/>
        </w:rPr>
        <w:lastRenderedPageBreak/>
        <w:t>tenants in contacting the local organizations aiding victims of domestic violence, dating violence, sexual assault, or stalking that are attached to this plan.</w:t>
      </w:r>
    </w:p>
    <w:p w14:paraId="551CB0FE" w14:textId="77777777" w:rsidR="00FB4A55" w:rsidRPr="00FB4A55" w:rsidRDefault="00FB4A55" w:rsidP="00FB4A55">
      <w:pPr>
        <w:spacing w:after="240"/>
        <w:jc w:val="center"/>
        <w:rPr>
          <w:rFonts w:cs="Calibri"/>
          <w:b/>
          <w:bCs/>
          <w:highlight w:val="yellow"/>
        </w:rPr>
      </w:pPr>
      <w:r w:rsidRPr="00FB4A55">
        <w:rPr>
          <w:rFonts w:cs="Calibri"/>
          <w:b/>
          <w:bCs/>
          <w:highlight w:val="yellow"/>
        </w:rPr>
        <w:t>Safety &amp; Security of Tenants</w:t>
      </w:r>
    </w:p>
    <w:p w14:paraId="48BEE7E6" w14:textId="77777777" w:rsidR="00FB4A55" w:rsidRPr="00FB4A55" w:rsidRDefault="00FB4A55" w:rsidP="00FB4A55">
      <w:pPr>
        <w:spacing w:after="240"/>
        <w:jc w:val="both"/>
        <w:rPr>
          <w:highlight w:val="yellow"/>
        </w:rPr>
      </w:pPr>
      <w:r w:rsidRPr="00FB4A55">
        <w:rPr>
          <w:highlight w:val="yellow"/>
        </w:rPr>
        <w:t>Pending processing of the transfer and the actual transfer, if it is approved and occurs, the tenant is urged to take all reasonable precautions to be safe.  Tenants who are or have been victims of domestic violence are encouraged to contact the National Domestic Violence Hotline at 1-800-799-7233, or a local domestic violence shelter, for assistance in creating a safety plan.  For persons with hearing impairments, that hotline can be accessed by calling 1-800-787-3224 (TTY).  Tenants who have been victims of sexual assault may call the Rape, Abuse &amp; Incest National Network’s National Sexual Assault Hotline at 800-656-</w:t>
      </w:r>
      <w:proofErr w:type="gramStart"/>
      <w:r w:rsidRPr="00FB4A55">
        <w:rPr>
          <w:highlight w:val="yellow"/>
        </w:rPr>
        <w:t>HOPE, or</w:t>
      </w:r>
      <w:proofErr w:type="gramEnd"/>
      <w:r w:rsidRPr="00FB4A55">
        <w:rPr>
          <w:highlight w:val="yellow"/>
        </w:rPr>
        <w:t xml:space="preserve"> visit the online hotline at https://ohl.rainn.org/online/.</w:t>
      </w:r>
    </w:p>
    <w:p w14:paraId="5ED34469" w14:textId="77777777" w:rsidR="00FB4A55" w:rsidRPr="00FB4A55" w:rsidRDefault="00FB4A55" w:rsidP="00FB4A55">
      <w:pPr>
        <w:spacing w:after="240"/>
        <w:jc w:val="both"/>
        <w:rPr>
          <w:highlight w:val="yellow"/>
        </w:rPr>
      </w:pPr>
      <w:r w:rsidRPr="00FB4A55">
        <w:rPr>
          <w:highlight w:val="yellow"/>
        </w:rPr>
        <w:t xml:space="preserve">Tenants who are or have been victims of stalking seeking help may visit the National Center for Victims of Crime’s Stalking Resource Center at </w:t>
      </w:r>
      <w:hyperlink r:id="rId20" w:history="1">
        <w:r w:rsidRPr="00FB4A55">
          <w:rPr>
            <w:rStyle w:val="Hyperlink"/>
            <w:highlight w:val="yellow"/>
          </w:rPr>
          <w:t>https://www.victimsofcrime.org/our-programs/stalking-resource-center</w:t>
        </w:r>
      </w:hyperlink>
      <w:r w:rsidRPr="00FB4A55">
        <w:rPr>
          <w:highlight w:val="yellow"/>
        </w:rPr>
        <w:t>.</w:t>
      </w:r>
    </w:p>
    <w:p w14:paraId="4E42FE07" w14:textId="77777777" w:rsidR="00FB4A55" w:rsidRPr="00FB4A55" w:rsidRDefault="00FB4A55" w:rsidP="00FB4A55">
      <w:pPr>
        <w:ind w:left="720"/>
      </w:pPr>
    </w:p>
    <w:p w14:paraId="5280B3FA" w14:textId="457FE496" w:rsidR="00BC6C26" w:rsidRPr="0058586C" w:rsidRDefault="00BC6C26" w:rsidP="000604EE">
      <w:pPr>
        <w:pStyle w:val="Heading2"/>
        <w:numPr>
          <w:ilvl w:val="0"/>
          <w:numId w:val="1"/>
        </w:numPr>
        <w:spacing w:before="0" w:line="240" w:lineRule="auto"/>
        <w:contextualSpacing/>
        <w:rPr>
          <w:color w:val="0070C0"/>
        </w:rPr>
      </w:pPr>
      <w:bookmarkStart w:id="125" w:name="_Toc124255034"/>
      <w:r w:rsidRPr="0058586C">
        <w:rPr>
          <w:color w:val="0070C0"/>
        </w:rPr>
        <w:t>Fair Housing, Antidiscrimination, Equal Access</w:t>
      </w:r>
      <w:bookmarkEnd w:id="125"/>
    </w:p>
    <w:p w14:paraId="2711B68E" w14:textId="3BC87F34" w:rsidR="00F5326A" w:rsidRPr="00F5326A" w:rsidRDefault="00F5326A" w:rsidP="00F5326A">
      <w:pPr>
        <w:pStyle w:val="ListParagraph"/>
        <w:numPr>
          <w:ilvl w:val="1"/>
          <w:numId w:val="1"/>
        </w:numPr>
        <w:rPr>
          <w:rFonts w:ascii="Calibri" w:hAnsi="Calibri"/>
          <w:color w:val="000000" w:themeColor="text1"/>
        </w:rPr>
      </w:pPr>
      <w:r>
        <w:rPr>
          <w:rFonts w:ascii="Calibri" w:hAnsi="Calibri"/>
          <w:color w:val="000000" w:themeColor="text1"/>
        </w:rPr>
        <w:t xml:space="preserve">Affirmatively Furthering Fair Housing </w:t>
      </w:r>
    </w:p>
    <w:p w14:paraId="2E8559FC" w14:textId="04D8BE04" w:rsidR="00BC6C26" w:rsidRPr="00A76818" w:rsidRDefault="00F5326A" w:rsidP="00195E5C">
      <w:pPr>
        <w:pStyle w:val="ListParagraph"/>
        <w:numPr>
          <w:ilvl w:val="2"/>
          <w:numId w:val="1"/>
        </w:numPr>
        <w:rPr>
          <w:rFonts w:ascii="Calibri" w:hAnsi="Calibri"/>
          <w:color w:val="000000" w:themeColor="text1"/>
        </w:rPr>
      </w:pPr>
      <w:r>
        <w:rPr>
          <w:rFonts w:ascii="Calibri" w:hAnsi="Calibri"/>
          <w:color w:val="000000" w:themeColor="text1"/>
          <w:u w:val="single"/>
        </w:rPr>
        <w:t xml:space="preserve">Fair Housing Act </w:t>
      </w:r>
      <w:r w:rsidR="00195E5C">
        <w:rPr>
          <w:rFonts w:ascii="Calibri" w:hAnsi="Calibri"/>
          <w:color w:val="000000" w:themeColor="text1"/>
          <w:u w:val="single"/>
        </w:rPr>
        <w:t>(</w:t>
      </w:r>
      <w:r>
        <w:rPr>
          <w:rFonts w:ascii="Calibri" w:hAnsi="Calibri"/>
          <w:color w:val="000000" w:themeColor="text1"/>
          <w:u w:val="single"/>
        </w:rPr>
        <w:t>f</w:t>
      </w:r>
      <w:r w:rsidR="00195E5C">
        <w:rPr>
          <w:rFonts w:ascii="Calibri" w:hAnsi="Calibri"/>
          <w:color w:val="000000" w:themeColor="text1"/>
          <w:u w:val="single"/>
        </w:rPr>
        <w:t>ederal)</w:t>
      </w:r>
      <w:r w:rsidR="00BC6C26" w:rsidRPr="00A76818">
        <w:rPr>
          <w:rFonts w:ascii="Calibri" w:hAnsi="Calibri"/>
          <w:color w:val="000000" w:themeColor="text1"/>
        </w:rPr>
        <w:t xml:space="preserve">: </w:t>
      </w:r>
      <w:r w:rsidR="000F60E4" w:rsidRPr="00A76818">
        <w:rPr>
          <w:rFonts w:ascii="Calibri" w:hAnsi="Calibri"/>
          <w:color w:val="000000" w:themeColor="text1"/>
        </w:rPr>
        <w:t>Service providers</w:t>
      </w:r>
      <w:r w:rsidR="00BC6C26" w:rsidRPr="00A76818">
        <w:rPr>
          <w:rFonts w:ascii="Calibri" w:hAnsi="Calibri"/>
          <w:color w:val="000000" w:themeColor="text1"/>
        </w:rPr>
        <w:t xml:space="preserve"> shall market housing and supportive services to eligible </w:t>
      </w:r>
      <w:r w:rsidR="000F60E4" w:rsidRPr="00A76818">
        <w:rPr>
          <w:rFonts w:ascii="Calibri" w:hAnsi="Calibri"/>
          <w:color w:val="000000" w:themeColor="text1"/>
        </w:rPr>
        <w:t>households</w:t>
      </w:r>
      <w:r w:rsidR="00BC6C26" w:rsidRPr="00A76818">
        <w:rPr>
          <w:rFonts w:ascii="Calibri" w:hAnsi="Calibri"/>
          <w:color w:val="000000" w:themeColor="text1"/>
        </w:rPr>
        <w:t xml:space="preserve"> regardless of race, color, national origin, religion, sex, age, familial status, or handicap; and, shall provide </w:t>
      </w:r>
      <w:r w:rsidR="000F60E4" w:rsidRPr="00A76818">
        <w:rPr>
          <w:rFonts w:ascii="Calibri" w:hAnsi="Calibri"/>
          <w:color w:val="000000" w:themeColor="text1"/>
        </w:rPr>
        <w:t xml:space="preserve">households </w:t>
      </w:r>
      <w:r w:rsidR="00BC6C26" w:rsidRPr="00A76818">
        <w:rPr>
          <w:rFonts w:ascii="Calibri" w:hAnsi="Calibri"/>
          <w:color w:val="000000" w:themeColor="text1"/>
        </w:rPr>
        <w:t xml:space="preserve">with information, in writing, on their rights and remedies under applicable federal, state, and local fair housing and civil rights laws. </w:t>
      </w:r>
    </w:p>
    <w:p w14:paraId="2B244AF9" w14:textId="60DDDBA6" w:rsidR="00195E5C" w:rsidRPr="00195E5C" w:rsidRDefault="00195E5C" w:rsidP="00195E5C">
      <w:pPr>
        <w:pStyle w:val="ListParagraph"/>
        <w:numPr>
          <w:ilvl w:val="3"/>
          <w:numId w:val="1"/>
        </w:numPr>
        <w:rPr>
          <w:rFonts w:ascii="Calibri" w:hAnsi="Calibri"/>
          <w:color w:val="000000" w:themeColor="text1"/>
        </w:rPr>
      </w:pPr>
      <w:r w:rsidRPr="00A76818">
        <w:rPr>
          <w:rFonts w:ascii="Calibri" w:hAnsi="Calibri"/>
          <w:color w:val="000000" w:themeColor="text1"/>
        </w:rPr>
        <w:t>See HUD’s Continuum of Care Program Interim Rule 24 CFR § 578.93(c) for more information.</w:t>
      </w:r>
    </w:p>
    <w:p w14:paraId="53973A0E" w14:textId="2AC7B6DB" w:rsidR="00CC61AB" w:rsidRPr="00CC61AB" w:rsidRDefault="00CC61AB" w:rsidP="00CC61AB">
      <w:pPr>
        <w:pStyle w:val="ListParagraph"/>
        <w:numPr>
          <w:ilvl w:val="2"/>
          <w:numId w:val="1"/>
        </w:numPr>
        <w:rPr>
          <w:rFonts w:ascii="Calibri" w:hAnsi="Calibri"/>
          <w:color w:val="000000" w:themeColor="text1"/>
        </w:rPr>
      </w:pPr>
      <w:r>
        <w:rPr>
          <w:rFonts w:ascii="Calibri" w:hAnsi="Calibri"/>
          <w:color w:val="000000" w:themeColor="text1"/>
        </w:rPr>
        <w:t xml:space="preserve">The CSCoC operates in accordance with all federal civil rights laws, including </w:t>
      </w:r>
      <w:r w:rsidRPr="00F5326A">
        <w:rPr>
          <w:rFonts w:ascii="Calibri" w:hAnsi="Calibri"/>
          <w:color w:val="000000" w:themeColor="text1"/>
        </w:rPr>
        <w:t>Section 504 of the Rehabilitation Act, Title VI of the Civil Rights Act, Titles II and III of the Americans with Disabilities Act, and HUD’s Equal Access and Gender Identity Rules</w:t>
      </w:r>
      <w:r>
        <w:rPr>
          <w:rFonts w:ascii="Calibri" w:hAnsi="Calibri"/>
          <w:color w:val="000000" w:themeColor="text1"/>
        </w:rPr>
        <w:t xml:space="preserve">. </w:t>
      </w:r>
    </w:p>
    <w:p w14:paraId="704B622F" w14:textId="003A31DA" w:rsidR="00F5326A" w:rsidRDefault="00F5326A" w:rsidP="00F5326A">
      <w:pPr>
        <w:pStyle w:val="ListParagraph"/>
        <w:numPr>
          <w:ilvl w:val="2"/>
          <w:numId w:val="1"/>
        </w:numPr>
        <w:rPr>
          <w:rFonts w:ascii="Calibri" w:hAnsi="Calibri"/>
          <w:color w:val="000000" w:themeColor="text1"/>
        </w:rPr>
      </w:pPr>
      <w:r w:rsidRPr="00F5326A">
        <w:rPr>
          <w:rFonts w:ascii="Calibri" w:hAnsi="Calibri"/>
          <w:color w:val="000000" w:themeColor="text1"/>
          <w:u w:val="single"/>
        </w:rPr>
        <w:t>California Fair Employment and Housing Act (state):</w:t>
      </w:r>
      <w:r>
        <w:rPr>
          <w:rFonts w:ascii="Calibri" w:hAnsi="Calibri"/>
          <w:color w:val="000000" w:themeColor="text1"/>
        </w:rPr>
        <w:t xml:space="preserve"> </w:t>
      </w:r>
      <w:r w:rsidR="00195E5C">
        <w:rPr>
          <w:rFonts w:ascii="Calibri" w:hAnsi="Calibri"/>
          <w:color w:val="000000" w:themeColor="text1"/>
        </w:rPr>
        <w:t>The owner of any housing accommodation may not discriminate against</w:t>
      </w:r>
      <w:r>
        <w:rPr>
          <w:rFonts w:ascii="Calibri" w:hAnsi="Calibri"/>
          <w:color w:val="000000" w:themeColor="text1"/>
        </w:rPr>
        <w:t xml:space="preserve">, </w:t>
      </w:r>
      <w:r w:rsidR="00195E5C">
        <w:rPr>
          <w:rFonts w:ascii="Calibri" w:hAnsi="Calibri"/>
          <w:color w:val="000000" w:themeColor="text1"/>
        </w:rPr>
        <w:t>harass</w:t>
      </w:r>
      <w:r>
        <w:rPr>
          <w:rFonts w:ascii="Calibri" w:hAnsi="Calibri"/>
          <w:color w:val="000000" w:themeColor="text1"/>
        </w:rPr>
        <w:t xml:space="preserve">, or make/cause to make any written or oral inquiry concerning the </w:t>
      </w:r>
      <w:r w:rsidR="00195E5C">
        <w:rPr>
          <w:rFonts w:ascii="Calibri" w:hAnsi="Calibri"/>
          <w:color w:val="000000" w:themeColor="text1"/>
        </w:rPr>
        <w:t>race, color, religion, sex, gender, gender identity, gender expression, sexual orientation, marital status, national origin, ancestry, familial status, source of income, disability, veteran or military status, or genetic information of</w:t>
      </w:r>
      <w:r>
        <w:rPr>
          <w:rFonts w:ascii="Calibri" w:hAnsi="Calibri"/>
          <w:color w:val="000000" w:themeColor="text1"/>
        </w:rPr>
        <w:t xml:space="preserve"> a</w:t>
      </w:r>
      <w:r w:rsidR="00195E5C">
        <w:rPr>
          <w:rFonts w:ascii="Calibri" w:hAnsi="Calibri"/>
          <w:color w:val="000000" w:themeColor="text1"/>
        </w:rPr>
        <w:t xml:space="preserve"> person. </w:t>
      </w:r>
    </w:p>
    <w:p w14:paraId="60B33E1A" w14:textId="09FE5122" w:rsidR="00F5326A" w:rsidRPr="00F5326A" w:rsidRDefault="00F5326A" w:rsidP="00F5326A">
      <w:pPr>
        <w:pStyle w:val="ListParagraph"/>
        <w:numPr>
          <w:ilvl w:val="3"/>
          <w:numId w:val="1"/>
        </w:numPr>
        <w:rPr>
          <w:rFonts w:ascii="Calibri" w:hAnsi="Calibri"/>
          <w:color w:val="000000" w:themeColor="text1"/>
        </w:rPr>
      </w:pPr>
      <w:r w:rsidRPr="00F5326A">
        <w:rPr>
          <w:rFonts w:ascii="Calibri" w:hAnsi="Calibri"/>
          <w:color w:val="000000" w:themeColor="text1"/>
        </w:rPr>
        <w:t xml:space="preserve">See California’s Fair Employment and Housing Act (Government Code, Title 2, Division 3, Part 2.8, Chapter 6 </w:t>
      </w:r>
      <w:r w:rsidRPr="00F5326A">
        <w:rPr>
          <w:rFonts w:ascii="Calibri" w:hAnsi="Calibri" w:cs="Calibri"/>
        </w:rPr>
        <w:t>§§ 12955-12956.2</w:t>
      </w:r>
      <w:r>
        <w:rPr>
          <w:rFonts w:ascii="Calibri" w:hAnsi="Calibri" w:cs="Calibri"/>
        </w:rPr>
        <w:t xml:space="preserve">) for more information. </w:t>
      </w:r>
    </w:p>
    <w:p w14:paraId="4FF7D485" w14:textId="7D5C1303" w:rsidR="00F5326A" w:rsidRDefault="00F5326A" w:rsidP="00F5326A">
      <w:pPr>
        <w:pStyle w:val="ListParagraph"/>
        <w:numPr>
          <w:ilvl w:val="2"/>
          <w:numId w:val="1"/>
        </w:numPr>
        <w:rPr>
          <w:rFonts w:ascii="Calibri" w:hAnsi="Calibri"/>
          <w:color w:val="000000" w:themeColor="text1"/>
        </w:rPr>
      </w:pPr>
      <w:r>
        <w:rPr>
          <w:rFonts w:ascii="Calibri" w:hAnsi="Calibri"/>
          <w:color w:val="000000" w:themeColor="text1"/>
        </w:rPr>
        <w:t xml:space="preserve">Please note, </w:t>
      </w:r>
      <w:r w:rsidR="00D10FC8">
        <w:rPr>
          <w:rFonts w:ascii="Calibri" w:hAnsi="Calibri"/>
          <w:color w:val="000000" w:themeColor="text1"/>
        </w:rPr>
        <w:t xml:space="preserve">some programs may be forced to limit enrollment based on requirements imposed by their funding sources and/or state or federal laws. For example, a HOPWA-funded project might be required to </w:t>
      </w:r>
      <w:r w:rsidR="00D10FC8">
        <w:rPr>
          <w:rFonts w:ascii="Calibri" w:hAnsi="Calibri"/>
          <w:color w:val="000000" w:themeColor="text1"/>
        </w:rPr>
        <w:lastRenderedPageBreak/>
        <w:t xml:space="preserve">serve only participants who have HIV/AIDS. All such programs will avoid discrimination to the maximum extent allowed by their funding sources and their authorizing legislation. </w:t>
      </w:r>
    </w:p>
    <w:p w14:paraId="67603051" w14:textId="040374E9" w:rsidR="00F5326A" w:rsidRPr="00A76818" w:rsidRDefault="00F5326A" w:rsidP="00F5326A">
      <w:pPr>
        <w:pStyle w:val="ListParagraph"/>
        <w:numPr>
          <w:ilvl w:val="1"/>
          <w:numId w:val="1"/>
        </w:numPr>
        <w:rPr>
          <w:rFonts w:ascii="Calibri" w:hAnsi="Calibri"/>
          <w:color w:val="000000" w:themeColor="text1"/>
        </w:rPr>
      </w:pPr>
      <w:r w:rsidRPr="00A76818">
        <w:rPr>
          <w:rFonts w:ascii="Calibri" w:hAnsi="Calibri"/>
          <w:color w:val="000000" w:themeColor="text1"/>
          <w:u w:val="single"/>
        </w:rPr>
        <w:t>Prioritized Subpopulations and Fair Housing Implications</w:t>
      </w:r>
      <w:r w:rsidRPr="00A76818">
        <w:rPr>
          <w:rFonts w:ascii="Calibri" w:hAnsi="Calibri"/>
          <w:color w:val="000000" w:themeColor="text1"/>
        </w:rPr>
        <w:t xml:space="preserve">: Service providers shall comply with </w:t>
      </w:r>
      <w:r>
        <w:rPr>
          <w:rFonts w:ascii="Calibri" w:hAnsi="Calibri"/>
          <w:color w:val="000000" w:themeColor="text1"/>
        </w:rPr>
        <w:t xml:space="preserve">all </w:t>
      </w:r>
      <w:r w:rsidRPr="00A76818">
        <w:rPr>
          <w:rFonts w:ascii="Calibri" w:hAnsi="Calibri"/>
          <w:color w:val="000000" w:themeColor="text1"/>
        </w:rPr>
        <w:t xml:space="preserve">applicable civil rights laws, including the Fair Housing Act. Within this framework, these standards establish subpopulations to be prioritized for housing and services that align with the identified needs of the local community and the goals of the Federal Strategic Plan to End Homelessness. </w:t>
      </w:r>
    </w:p>
    <w:p w14:paraId="702A9041" w14:textId="77777777" w:rsidR="00F5326A" w:rsidRPr="00A76818" w:rsidRDefault="00F5326A" w:rsidP="00F5326A">
      <w:pPr>
        <w:pStyle w:val="ListParagraph"/>
        <w:numPr>
          <w:ilvl w:val="2"/>
          <w:numId w:val="1"/>
        </w:numPr>
        <w:rPr>
          <w:rFonts w:ascii="Calibri" w:hAnsi="Calibri"/>
          <w:color w:val="000000" w:themeColor="text1"/>
        </w:rPr>
      </w:pPr>
      <w:r w:rsidRPr="00A76818">
        <w:rPr>
          <w:rFonts w:ascii="Calibri" w:hAnsi="Calibri"/>
          <w:color w:val="000000" w:themeColor="text1"/>
        </w:rPr>
        <w:t xml:space="preserve">Subpopulations may be prioritized if doing so does not discriminate against any protected class under federal nondiscrimination laws in 24 CFR § 5.105; subpopulations may also be prioritized according to who needs the specialized supportive services that are offered by the project. 24 CFR § 578.93(b)(2) and (7). </w:t>
      </w:r>
    </w:p>
    <w:p w14:paraId="6750CB79" w14:textId="77777777" w:rsidR="00F5326A" w:rsidRDefault="00F5326A" w:rsidP="00F5326A">
      <w:pPr>
        <w:pStyle w:val="ListParagraph"/>
        <w:numPr>
          <w:ilvl w:val="2"/>
          <w:numId w:val="1"/>
        </w:numPr>
        <w:rPr>
          <w:rFonts w:ascii="Calibri" w:hAnsi="Calibri"/>
          <w:color w:val="000000" w:themeColor="text1"/>
        </w:rPr>
      </w:pPr>
      <w:r w:rsidRPr="00A76818">
        <w:rPr>
          <w:rFonts w:ascii="Calibri" w:hAnsi="Calibri"/>
          <w:color w:val="000000" w:themeColor="text1"/>
        </w:rPr>
        <w:t>The local standards establish priority subpopulations by project type (</w:t>
      </w:r>
      <w:proofErr w:type="gramStart"/>
      <w:r w:rsidRPr="00A76818">
        <w:rPr>
          <w:rFonts w:ascii="Calibri" w:hAnsi="Calibri"/>
          <w:color w:val="000000" w:themeColor="text1"/>
        </w:rPr>
        <w:t>i.e.</w:t>
      </w:r>
      <w:proofErr w:type="gramEnd"/>
      <w:r w:rsidRPr="00A76818">
        <w:rPr>
          <w:rFonts w:ascii="Calibri" w:hAnsi="Calibri"/>
          <w:color w:val="000000" w:themeColor="text1"/>
        </w:rPr>
        <w:t xml:space="preserve"> </w:t>
      </w:r>
      <w:r>
        <w:rPr>
          <w:rFonts w:ascii="Calibri" w:hAnsi="Calibri"/>
          <w:color w:val="000000" w:themeColor="text1"/>
        </w:rPr>
        <w:t>p</w:t>
      </w:r>
      <w:r w:rsidRPr="00A76818">
        <w:rPr>
          <w:rFonts w:ascii="Calibri" w:hAnsi="Calibri"/>
          <w:color w:val="000000" w:themeColor="text1"/>
        </w:rPr>
        <w:t xml:space="preserve">ermanent </w:t>
      </w:r>
      <w:r>
        <w:rPr>
          <w:rFonts w:ascii="Calibri" w:hAnsi="Calibri"/>
          <w:color w:val="000000" w:themeColor="text1"/>
        </w:rPr>
        <w:t>s</w:t>
      </w:r>
      <w:r w:rsidRPr="00A76818">
        <w:rPr>
          <w:rFonts w:ascii="Calibri" w:hAnsi="Calibri"/>
          <w:color w:val="000000" w:themeColor="text1"/>
        </w:rPr>
        <w:t xml:space="preserve">upportive </w:t>
      </w:r>
      <w:r>
        <w:rPr>
          <w:rFonts w:ascii="Calibri" w:hAnsi="Calibri"/>
          <w:color w:val="000000" w:themeColor="text1"/>
        </w:rPr>
        <w:t>h</w:t>
      </w:r>
      <w:r w:rsidRPr="00A76818">
        <w:rPr>
          <w:rFonts w:ascii="Calibri" w:hAnsi="Calibri"/>
          <w:color w:val="000000" w:themeColor="text1"/>
        </w:rPr>
        <w:t xml:space="preserve">ousing); service providers may not set more restrictive priorities unless a federal statute or executive order specifically authorizes this limitation, or unless expressly authorized by 24 CFR § 578.93(b)(1) to (7). </w:t>
      </w:r>
    </w:p>
    <w:p w14:paraId="4C60E337" w14:textId="77777777" w:rsidR="00F5326A" w:rsidRDefault="00F5326A" w:rsidP="00F5326A">
      <w:pPr>
        <w:pStyle w:val="ListParagraph"/>
        <w:numPr>
          <w:ilvl w:val="3"/>
          <w:numId w:val="1"/>
        </w:numPr>
        <w:rPr>
          <w:rFonts w:ascii="Calibri" w:hAnsi="Calibri"/>
          <w:color w:val="000000" w:themeColor="text1"/>
        </w:rPr>
      </w:pPr>
      <w:r w:rsidRPr="00A76818">
        <w:rPr>
          <w:rFonts w:ascii="Calibri" w:hAnsi="Calibri"/>
          <w:color w:val="000000" w:themeColor="text1"/>
        </w:rPr>
        <w:t>For instance, while a Permanent Supportive Housing project may prioritize chronically homeless persons or households with a qualifying disability per the Local Standards, beds may not be reserved to persons with a specific disability (</w:t>
      </w:r>
      <w:proofErr w:type="gramStart"/>
      <w:r w:rsidRPr="00A76818">
        <w:rPr>
          <w:rFonts w:ascii="Calibri" w:hAnsi="Calibri"/>
          <w:color w:val="000000" w:themeColor="text1"/>
        </w:rPr>
        <w:t>i.e.</w:t>
      </w:r>
      <w:proofErr w:type="gramEnd"/>
      <w:r w:rsidRPr="00A76818">
        <w:rPr>
          <w:rFonts w:ascii="Calibri" w:hAnsi="Calibri"/>
          <w:color w:val="000000" w:themeColor="text1"/>
        </w:rPr>
        <w:t xml:space="preserve"> physical disability).</w:t>
      </w:r>
    </w:p>
    <w:p w14:paraId="2B012E76" w14:textId="3BF98E4C" w:rsidR="00F5326A" w:rsidRPr="00F5326A" w:rsidRDefault="00F5326A" w:rsidP="00F5326A">
      <w:pPr>
        <w:pStyle w:val="ListParagraph"/>
        <w:numPr>
          <w:ilvl w:val="2"/>
          <w:numId w:val="1"/>
        </w:numPr>
        <w:rPr>
          <w:rFonts w:ascii="Calibri" w:hAnsi="Calibri"/>
          <w:color w:val="000000" w:themeColor="text1"/>
        </w:rPr>
      </w:pPr>
      <w:r w:rsidRPr="00A76818">
        <w:rPr>
          <w:rFonts w:ascii="Calibri" w:hAnsi="Calibri"/>
          <w:color w:val="000000" w:themeColor="text1"/>
        </w:rPr>
        <w:t xml:space="preserve">If an individual or household who is otherwise qualified but who does not have a physical disability seeks admission and would benefit from the services offered, this individual or household may not be excluded from the project. Alternatively, for example, service providers may reserve beds for persons with HIV/AIDS if the housing also receives funding from the Housing Opportunities for People with AIDS program (HOPWA). </w:t>
      </w:r>
    </w:p>
    <w:p w14:paraId="5CDBF82D" w14:textId="32429A6E" w:rsidR="00BC6C26" w:rsidRPr="00A76818" w:rsidRDefault="00BC6C26" w:rsidP="000604EE">
      <w:pPr>
        <w:pStyle w:val="ListParagraph"/>
        <w:numPr>
          <w:ilvl w:val="1"/>
          <w:numId w:val="1"/>
        </w:numPr>
        <w:rPr>
          <w:rFonts w:ascii="Calibri" w:hAnsi="Calibri"/>
          <w:color w:val="000000" w:themeColor="text1"/>
        </w:rPr>
      </w:pPr>
      <w:r w:rsidRPr="00A76818">
        <w:rPr>
          <w:rFonts w:ascii="Calibri" w:hAnsi="Calibri"/>
          <w:color w:val="000000" w:themeColor="text1"/>
          <w:u w:val="single"/>
        </w:rPr>
        <w:t>Reasonable Accommodations and Modifications for Persons with Disabilities</w:t>
      </w:r>
      <w:r w:rsidRPr="00A76818">
        <w:rPr>
          <w:rFonts w:ascii="Calibri" w:hAnsi="Calibri"/>
          <w:color w:val="000000" w:themeColor="text1"/>
        </w:rPr>
        <w:t xml:space="preserve">: </w:t>
      </w:r>
      <w:r w:rsidR="000F60E4" w:rsidRPr="00A76818">
        <w:rPr>
          <w:rFonts w:ascii="Calibri" w:hAnsi="Calibri"/>
          <w:color w:val="000000" w:themeColor="text1"/>
        </w:rPr>
        <w:t>Service providers</w:t>
      </w:r>
      <w:r w:rsidRPr="00A76818">
        <w:rPr>
          <w:rFonts w:ascii="Calibri" w:hAnsi="Calibri"/>
          <w:color w:val="000000" w:themeColor="text1"/>
        </w:rPr>
        <w:t xml:space="preserve"> are required to provide reasonable accommodations and modifications for persons with disabilities. </w:t>
      </w:r>
    </w:p>
    <w:p w14:paraId="7DCCB02F" w14:textId="77777777" w:rsidR="00BC6C26" w:rsidRPr="00A76818" w:rsidRDefault="00BC6C26" w:rsidP="000604EE">
      <w:pPr>
        <w:pStyle w:val="ListParagraph"/>
        <w:numPr>
          <w:ilvl w:val="2"/>
          <w:numId w:val="1"/>
        </w:numPr>
        <w:rPr>
          <w:rFonts w:ascii="Calibri" w:hAnsi="Calibri"/>
          <w:color w:val="000000" w:themeColor="text1"/>
        </w:rPr>
      </w:pPr>
      <w:r w:rsidRPr="00A76818">
        <w:rPr>
          <w:rFonts w:ascii="Calibri" w:hAnsi="Calibri"/>
          <w:color w:val="000000" w:themeColor="text1"/>
        </w:rPr>
        <w:t xml:space="preserve">A reasonable accommodation is defined as changing the rules, policies, or services so that a person with a disability has equal opportunity to use and enjoy a dwelling unit or common space. </w:t>
      </w:r>
    </w:p>
    <w:p w14:paraId="308FF31C" w14:textId="0E976546" w:rsidR="00BC6C26" w:rsidRPr="00A76818" w:rsidRDefault="00BC6C26" w:rsidP="000604EE">
      <w:pPr>
        <w:pStyle w:val="ListParagraph"/>
        <w:numPr>
          <w:ilvl w:val="3"/>
          <w:numId w:val="1"/>
        </w:numPr>
        <w:rPr>
          <w:rFonts w:ascii="Calibri" w:hAnsi="Calibri"/>
          <w:color w:val="000000" w:themeColor="text1"/>
        </w:rPr>
      </w:pPr>
      <w:r w:rsidRPr="00A76818">
        <w:rPr>
          <w:rFonts w:ascii="Calibri" w:hAnsi="Calibri"/>
          <w:color w:val="000000" w:themeColor="text1"/>
        </w:rPr>
        <w:t xml:space="preserve">Permitting a person with a disability to have a service animal is an example of a reasonable accommodation. </w:t>
      </w:r>
    </w:p>
    <w:p w14:paraId="6114DFA8" w14:textId="6A99C0B8" w:rsidR="00F31FB5" w:rsidRPr="00A76818" w:rsidRDefault="00F31FB5"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A service animal is defined under the Americans with Disabilities Act as a dog or miniature horse that is individually trained to perform tasks or do work for a person with a disability.</w:t>
      </w:r>
    </w:p>
    <w:p w14:paraId="1D6E52B7" w14:textId="77777777" w:rsidR="00BC6C26" w:rsidRPr="00A76818" w:rsidRDefault="00BC6C26" w:rsidP="000604EE">
      <w:pPr>
        <w:pStyle w:val="ListParagraph"/>
        <w:numPr>
          <w:ilvl w:val="2"/>
          <w:numId w:val="1"/>
        </w:numPr>
        <w:rPr>
          <w:rFonts w:ascii="Calibri" w:hAnsi="Calibri"/>
          <w:color w:val="000000" w:themeColor="text1"/>
        </w:rPr>
      </w:pPr>
      <w:r w:rsidRPr="00A76818">
        <w:rPr>
          <w:rFonts w:ascii="Calibri" w:hAnsi="Calibri"/>
          <w:color w:val="000000" w:themeColor="text1"/>
        </w:rPr>
        <w:t xml:space="preserve">A reasonable modification is defined as modifying a structure so that a person with a disability has the full enjoyment of the housing and related facilities. </w:t>
      </w:r>
    </w:p>
    <w:p w14:paraId="2C67EC48" w14:textId="77777777" w:rsidR="00BC6C26" w:rsidRPr="00A76818" w:rsidRDefault="00BC6C26" w:rsidP="000604EE">
      <w:pPr>
        <w:pStyle w:val="ListParagraph"/>
        <w:numPr>
          <w:ilvl w:val="3"/>
          <w:numId w:val="1"/>
        </w:numPr>
        <w:rPr>
          <w:rFonts w:ascii="Calibri" w:hAnsi="Calibri"/>
          <w:color w:val="000000" w:themeColor="text1"/>
        </w:rPr>
      </w:pPr>
      <w:r w:rsidRPr="00A76818">
        <w:rPr>
          <w:rFonts w:ascii="Calibri" w:hAnsi="Calibri"/>
          <w:color w:val="000000" w:themeColor="text1"/>
        </w:rPr>
        <w:t xml:space="preserve">Installing a grab bar in the bathroom of a person with a disability is an example of a reasonable modification. </w:t>
      </w:r>
    </w:p>
    <w:p w14:paraId="6503E0CA" w14:textId="23D7E8AE" w:rsidR="00C51060" w:rsidRPr="00A76818" w:rsidRDefault="00BC6C26" w:rsidP="000604EE">
      <w:pPr>
        <w:pStyle w:val="ListParagraph"/>
        <w:numPr>
          <w:ilvl w:val="3"/>
          <w:numId w:val="1"/>
        </w:numPr>
        <w:rPr>
          <w:rFonts w:ascii="Calibri" w:hAnsi="Calibri"/>
          <w:color w:val="000000" w:themeColor="text1"/>
        </w:rPr>
      </w:pPr>
      <w:r w:rsidRPr="00A76818">
        <w:rPr>
          <w:rFonts w:ascii="Calibri" w:hAnsi="Calibri"/>
          <w:color w:val="000000" w:themeColor="text1"/>
        </w:rPr>
        <w:t xml:space="preserve">For </w:t>
      </w:r>
      <w:proofErr w:type="gramStart"/>
      <w:r w:rsidRPr="00A76818">
        <w:rPr>
          <w:rFonts w:ascii="Calibri" w:hAnsi="Calibri"/>
          <w:color w:val="000000" w:themeColor="text1"/>
        </w:rPr>
        <w:t>federally-funded</w:t>
      </w:r>
      <w:proofErr w:type="gramEnd"/>
      <w:r w:rsidRPr="00A76818">
        <w:rPr>
          <w:rFonts w:ascii="Calibri" w:hAnsi="Calibri"/>
          <w:color w:val="000000" w:themeColor="text1"/>
        </w:rPr>
        <w:t xml:space="preserve"> housing, the </w:t>
      </w:r>
      <w:r w:rsidR="000F60E4" w:rsidRPr="00A76818">
        <w:rPr>
          <w:rFonts w:ascii="Calibri" w:hAnsi="Calibri"/>
          <w:color w:val="000000" w:themeColor="text1"/>
        </w:rPr>
        <w:t xml:space="preserve">service provider </w:t>
      </w:r>
      <w:r w:rsidRPr="00A76818">
        <w:rPr>
          <w:rFonts w:ascii="Calibri" w:hAnsi="Calibri"/>
          <w:color w:val="000000" w:themeColor="text1"/>
        </w:rPr>
        <w:t xml:space="preserve">bears the burden of paying for the modification. </w:t>
      </w:r>
      <w:r w:rsidR="000F60E4" w:rsidRPr="00A76818">
        <w:rPr>
          <w:rFonts w:ascii="Calibri" w:hAnsi="Calibri"/>
          <w:color w:val="000000" w:themeColor="text1"/>
        </w:rPr>
        <w:t>Service providers</w:t>
      </w:r>
      <w:r w:rsidRPr="00A76818">
        <w:rPr>
          <w:rFonts w:ascii="Calibri" w:hAnsi="Calibri"/>
          <w:color w:val="000000" w:themeColor="text1"/>
        </w:rPr>
        <w:t xml:space="preserve"> must inform </w:t>
      </w:r>
      <w:r w:rsidR="000F60E4" w:rsidRPr="00A76818">
        <w:rPr>
          <w:rFonts w:ascii="Calibri" w:hAnsi="Calibri"/>
          <w:color w:val="000000" w:themeColor="text1"/>
        </w:rPr>
        <w:t>households</w:t>
      </w:r>
      <w:r w:rsidRPr="00A76818">
        <w:rPr>
          <w:rFonts w:ascii="Calibri" w:hAnsi="Calibri"/>
          <w:color w:val="000000" w:themeColor="text1"/>
        </w:rPr>
        <w:t xml:space="preserve"> during the intake process of their right to request a reasonable accommodation or modification. </w:t>
      </w:r>
    </w:p>
    <w:p w14:paraId="2A1A99DF" w14:textId="77777777" w:rsidR="00C51060" w:rsidRPr="00A76818" w:rsidRDefault="00BC6C26" w:rsidP="000604EE">
      <w:pPr>
        <w:pStyle w:val="ListParagraph"/>
        <w:numPr>
          <w:ilvl w:val="1"/>
          <w:numId w:val="1"/>
        </w:numPr>
        <w:rPr>
          <w:rFonts w:ascii="Calibri" w:hAnsi="Calibri"/>
          <w:color w:val="000000" w:themeColor="text1"/>
        </w:rPr>
      </w:pPr>
      <w:r w:rsidRPr="00A76818">
        <w:rPr>
          <w:rFonts w:ascii="Calibri" w:hAnsi="Calibri"/>
          <w:color w:val="000000" w:themeColor="text1"/>
          <w:u w:val="single"/>
        </w:rPr>
        <w:lastRenderedPageBreak/>
        <w:t>Preventing Involuntary Family Separation</w:t>
      </w:r>
      <w:r w:rsidRPr="00A76818">
        <w:rPr>
          <w:rFonts w:ascii="Calibri" w:hAnsi="Calibri"/>
          <w:color w:val="000000" w:themeColor="text1"/>
        </w:rPr>
        <w:t>:</w:t>
      </w:r>
      <w:r w:rsidR="00C51060" w:rsidRPr="00A76818">
        <w:rPr>
          <w:rFonts w:ascii="Calibri" w:hAnsi="Calibri"/>
          <w:color w:val="000000" w:themeColor="text1"/>
          <w:shd w:val="clear" w:color="auto" w:fill="FFFFFF"/>
        </w:rPr>
        <w:t xml:space="preserve"> In compliance with CoC Program interim rule 24 CFR §578.93(e), involuntary family separation is prohibited in CoC-and ESG-funded projects. </w:t>
      </w:r>
    </w:p>
    <w:p w14:paraId="2B84313A" w14:textId="6CB6956B" w:rsidR="00C51060" w:rsidRPr="00A76818" w:rsidRDefault="00C51060" w:rsidP="000604EE">
      <w:pPr>
        <w:pStyle w:val="ListParagraph"/>
        <w:numPr>
          <w:ilvl w:val="2"/>
          <w:numId w:val="1"/>
        </w:numPr>
        <w:rPr>
          <w:rFonts w:ascii="Calibri" w:hAnsi="Calibri"/>
          <w:color w:val="000000" w:themeColor="text1"/>
        </w:rPr>
      </w:pPr>
      <w:r w:rsidRPr="00A76818">
        <w:rPr>
          <w:rFonts w:ascii="Calibri" w:hAnsi="Calibri"/>
          <w:color w:val="000000" w:themeColor="text1"/>
          <w:shd w:val="clear" w:color="auto" w:fill="FFFFFF"/>
        </w:rPr>
        <w:t xml:space="preserve">CoC-and ESG-funded projects may not deny admission to any household </w:t>
      </w:r>
      <w:r w:rsidR="00C777B8" w:rsidRPr="00A76818">
        <w:rPr>
          <w:rFonts w:ascii="Calibri" w:hAnsi="Calibri"/>
          <w:color w:val="000000" w:themeColor="text1"/>
          <w:shd w:val="clear" w:color="auto" w:fill="FFFFFF"/>
        </w:rPr>
        <w:t>based on</w:t>
      </w:r>
      <w:r w:rsidRPr="00A76818">
        <w:rPr>
          <w:rFonts w:ascii="Calibri" w:hAnsi="Calibri"/>
          <w:color w:val="000000" w:themeColor="text1"/>
          <w:shd w:val="clear" w:color="auto" w:fill="FFFFFF"/>
        </w:rPr>
        <w:t>:</w:t>
      </w:r>
    </w:p>
    <w:p w14:paraId="430B82E7" w14:textId="77777777" w:rsidR="00C51060" w:rsidRPr="00A76818" w:rsidRDefault="00C51060" w:rsidP="000604EE">
      <w:pPr>
        <w:pStyle w:val="ListParagraph"/>
        <w:numPr>
          <w:ilvl w:val="3"/>
          <w:numId w:val="1"/>
        </w:numPr>
        <w:rPr>
          <w:rFonts w:ascii="Calibri" w:hAnsi="Calibri"/>
          <w:color w:val="000000" w:themeColor="text1"/>
        </w:rPr>
      </w:pPr>
      <w:r w:rsidRPr="00A76818">
        <w:rPr>
          <w:rFonts w:ascii="Calibri" w:hAnsi="Calibri"/>
          <w:color w:val="000000" w:themeColor="text1"/>
          <w:shd w:val="clear" w:color="auto" w:fill="FFFFFF"/>
        </w:rPr>
        <w:t>Age and gender of a child under age 18, or</w:t>
      </w:r>
    </w:p>
    <w:p w14:paraId="2FEBA8E3" w14:textId="77777777" w:rsidR="00C51060" w:rsidRPr="00A76818" w:rsidRDefault="00C51060" w:rsidP="000604EE">
      <w:pPr>
        <w:pStyle w:val="ListParagraph"/>
        <w:numPr>
          <w:ilvl w:val="3"/>
          <w:numId w:val="1"/>
        </w:numPr>
        <w:rPr>
          <w:rFonts w:ascii="Calibri" w:hAnsi="Calibri"/>
          <w:color w:val="000000" w:themeColor="text1"/>
        </w:rPr>
      </w:pPr>
      <w:r w:rsidRPr="00A76818">
        <w:rPr>
          <w:rFonts w:ascii="Calibri" w:hAnsi="Calibri"/>
          <w:color w:val="000000" w:themeColor="text1"/>
          <w:shd w:val="clear" w:color="auto" w:fill="FFFFFF"/>
        </w:rPr>
        <w:t>Gender or marital status of a parent or parents.</w:t>
      </w:r>
    </w:p>
    <w:p w14:paraId="63C308C4" w14:textId="5B9AA0A0" w:rsidR="00C51060" w:rsidRPr="00A76818" w:rsidRDefault="00C51060" w:rsidP="000604EE">
      <w:pPr>
        <w:pStyle w:val="ListParagraph"/>
        <w:numPr>
          <w:ilvl w:val="2"/>
          <w:numId w:val="1"/>
        </w:numPr>
        <w:rPr>
          <w:rFonts w:ascii="Calibri" w:hAnsi="Calibri"/>
          <w:color w:val="000000" w:themeColor="text1"/>
        </w:rPr>
      </w:pPr>
      <w:r w:rsidRPr="00A76818">
        <w:rPr>
          <w:rFonts w:ascii="Calibri" w:hAnsi="Calibri"/>
          <w:color w:val="000000" w:themeColor="text1"/>
          <w:shd w:val="clear" w:color="auto" w:fill="FFFFFF"/>
        </w:rPr>
        <w:t xml:space="preserve">The CoC will work with </w:t>
      </w:r>
      <w:r w:rsidR="000F60E4" w:rsidRPr="00A76818">
        <w:rPr>
          <w:rFonts w:ascii="Calibri" w:hAnsi="Calibri"/>
          <w:color w:val="000000" w:themeColor="text1"/>
          <w:shd w:val="clear" w:color="auto" w:fill="FFFFFF"/>
        </w:rPr>
        <w:t xml:space="preserve">service </w:t>
      </w:r>
      <w:r w:rsidRPr="00A76818">
        <w:rPr>
          <w:rFonts w:ascii="Calibri" w:hAnsi="Calibri"/>
          <w:color w:val="000000" w:themeColor="text1"/>
          <w:shd w:val="clear" w:color="auto" w:fill="FFFFFF"/>
        </w:rPr>
        <w:t xml:space="preserve">providers to ensure that placement efforts are coordinated to avoid involuntary family separation. </w:t>
      </w:r>
    </w:p>
    <w:p w14:paraId="1C76F1DA" w14:textId="5BCC79E7" w:rsidR="00BC6C26" w:rsidRPr="00A76818" w:rsidRDefault="00C51060" w:rsidP="000604EE">
      <w:pPr>
        <w:pStyle w:val="ListParagraph"/>
        <w:numPr>
          <w:ilvl w:val="2"/>
          <w:numId w:val="1"/>
        </w:numPr>
        <w:rPr>
          <w:rFonts w:ascii="Calibri" w:hAnsi="Calibri"/>
          <w:color w:val="000000" w:themeColor="text1"/>
        </w:rPr>
      </w:pPr>
      <w:r w:rsidRPr="00A76818">
        <w:rPr>
          <w:rFonts w:ascii="Calibri" w:hAnsi="Calibri"/>
          <w:color w:val="000000" w:themeColor="text1"/>
          <w:shd w:val="clear" w:color="auto" w:fill="FFFFFF"/>
        </w:rPr>
        <w:t xml:space="preserve">Any person who believes that they or a member </w:t>
      </w:r>
      <w:r w:rsidR="000F60E4" w:rsidRPr="00A76818">
        <w:rPr>
          <w:rFonts w:ascii="Calibri" w:hAnsi="Calibri"/>
          <w:color w:val="000000" w:themeColor="text1"/>
          <w:shd w:val="clear" w:color="auto" w:fill="FFFFFF"/>
        </w:rPr>
        <w:t xml:space="preserve">of their household </w:t>
      </w:r>
      <w:r w:rsidRPr="00A76818">
        <w:rPr>
          <w:rFonts w:ascii="Calibri" w:hAnsi="Calibri"/>
          <w:color w:val="000000" w:themeColor="text1"/>
          <w:shd w:val="clear" w:color="auto" w:fill="FFFFFF"/>
        </w:rPr>
        <w:t>has experienced involuntary family separation may report the issue to the CoC. The CoC will investigate the claim and take remedial action when appropriate</w:t>
      </w:r>
      <w:r w:rsidR="000C7D2E" w:rsidRPr="00A76818">
        <w:rPr>
          <w:rFonts w:ascii="Calibri" w:hAnsi="Calibri"/>
          <w:color w:val="000000" w:themeColor="text1"/>
          <w:shd w:val="clear" w:color="auto" w:fill="FFFFFF"/>
        </w:rPr>
        <w:t xml:space="preserve">. </w:t>
      </w:r>
    </w:p>
    <w:p w14:paraId="1A28EBAC" w14:textId="77777777" w:rsidR="00BC6C26" w:rsidRPr="00A76818" w:rsidRDefault="00BC6C26" w:rsidP="000604EE">
      <w:pPr>
        <w:pStyle w:val="ListParagraph"/>
        <w:numPr>
          <w:ilvl w:val="1"/>
          <w:numId w:val="1"/>
        </w:numPr>
        <w:rPr>
          <w:rFonts w:ascii="Calibri" w:hAnsi="Calibri"/>
          <w:color w:val="000000" w:themeColor="text1"/>
        </w:rPr>
      </w:pPr>
      <w:r w:rsidRPr="00A76818">
        <w:rPr>
          <w:rFonts w:ascii="Calibri" w:hAnsi="Calibri"/>
          <w:color w:val="000000" w:themeColor="text1"/>
          <w:u w:val="single"/>
        </w:rPr>
        <w:t>Equal Access in Accordance with Gender Identity</w:t>
      </w:r>
      <w:r w:rsidRPr="00A76818">
        <w:rPr>
          <w:rFonts w:ascii="Calibri" w:hAnsi="Calibri"/>
          <w:color w:val="000000" w:themeColor="text1"/>
        </w:rPr>
        <w:t xml:space="preserve">: Recipients must follow HUD’s requirements regarding equal access per the 2012 Equal Access Rule (77 FR 5662) and the CPD Equal Access Rule (81 FR 64782). </w:t>
      </w:r>
    </w:p>
    <w:p w14:paraId="2EE5F728" w14:textId="77777777" w:rsidR="00BC6C26" w:rsidRPr="00A76818" w:rsidRDefault="00BC6C26" w:rsidP="000604EE">
      <w:pPr>
        <w:pStyle w:val="ListParagraph"/>
        <w:numPr>
          <w:ilvl w:val="2"/>
          <w:numId w:val="1"/>
        </w:numPr>
        <w:rPr>
          <w:rFonts w:ascii="Calibri" w:hAnsi="Calibri"/>
          <w:color w:val="000000" w:themeColor="text1"/>
        </w:rPr>
      </w:pPr>
      <w:r w:rsidRPr="00A76818">
        <w:rPr>
          <w:rFonts w:ascii="Calibri" w:hAnsi="Calibri"/>
          <w:color w:val="000000" w:themeColor="text1"/>
        </w:rPr>
        <w:t xml:space="preserve">Projects, including single-sex emergency shelters, must provide all individuals, including transgender individuals and other individuals who do not identify with the sex they were assigned at birth, with access to programs, benefits, services, and accommodations in accordance with their gender identity without being subjected to intrusive questioning or being asked to provide documentation. </w:t>
      </w:r>
    </w:p>
    <w:p w14:paraId="474792EC" w14:textId="63013455" w:rsidR="00BC6C26" w:rsidRPr="00A76818" w:rsidRDefault="000F60E4" w:rsidP="000604EE">
      <w:pPr>
        <w:pStyle w:val="ListParagraph"/>
        <w:numPr>
          <w:ilvl w:val="2"/>
          <w:numId w:val="1"/>
        </w:numPr>
        <w:rPr>
          <w:rFonts w:ascii="Calibri" w:hAnsi="Calibri"/>
          <w:color w:val="000000" w:themeColor="text1"/>
        </w:rPr>
      </w:pPr>
      <w:r w:rsidRPr="00A76818">
        <w:rPr>
          <w:rFonts w:ascii="Calibri" w:hAnsi="Calibri"/>
          <w:color w:val="000000" w:themeColor="text1"/>
        </w:rPr>
        <w:t>Service providers</w:t>
      </w:r>
      <w:r w:rsidR="00BC6C26" w:rsidRPr="00A76818">
        <w:rPr>
          <w:rFonts w:ascii="Calibri" w:hAnsi="Calibri"/>
          <w:color w:val="000000" w:themeColor="text1"/>
        </w:rPr>
        <w:t xml:space="preserve">’ policies and procedures must reflect that equal access is provided to individuals and </w:t>
      </w:r>
      <w:r w:rsidRPr="00A76818">
        <w:rPr>
          <w:rFonts w:ascii="Calibri" w:hAnsi="Calibri"/>
          <w:color w:val="000000" w:themeColor="text1"/>
        </w:rPr>
        <w:t>households</w:t>
      </w:r>
      <w:r w:rsidR="00BC6C26" w:rsidRPr="00A76818">
        <w:rPr>
          <w:rFonts w:ascii="Calibri" w:hAnsi="Calibri"/>
          <w:color w:val="000000" w:themeColor="text1"/>
        </w:rPr>
        <w:t xml:space="preserve"> based on their gender identity. </w:t>
      </w:r>
    </w:p>
    <w:p w14:paraId="1FDC35F6" w14:textId="0BBA4B16" w:rsidR="00BC6C26" w:rsidRPr="00A76818" w:rsidRDefault="00BC6C26" w:rsidP="000604EE">
      <w:pPr>
        <w:pStyle w:val="ListParagraph"/>
        <w:numPr>
          <w:ilvl w:val="2"/>
          <w:numId w:val="1"/>
        </w:numPr>
        <w:rPr>
          <w:rFonts w:ascii="Calibri" w:hAnsi="Calibri"/>
          <w:color w:val="000000" w:themeColor="text1"/>
        </w:rPr>
      </w:pPr>
      <w:r w:rsidRPr="00A76818">
        <w:rPr>
          <w:rFonts w:ascii="Calibri" w:hAnsi="Calibri"/>
          <w:color w:val="000000" w:themeColor="text1"/>
        </w:rPr>
        <w:t xml:space="preserve">Once a </w:t>
      </w:r>
      <w:r w:rsidR="000F60E4" w:rsidRPr="00A76818">
        <w:rPr>
          <w:rFonts w:ascii="Calibri" w:hAnsi="Calibri"/>
          <w:color w:val="000000" w:themeColor="text1"/>
        </w:rPr>
        <w:t>household</w:t>
      </w:r>
      <w:r w:rsidRPr="00A76818">
        <w:rPr>
          <w:rFonts w:ascii="Calibri" w:hAnsi="Calibri"/>
          <w:color w:val="000000" w:themeColor="text1"/>
        </w:rPr>
        <w:t xml:space="preserve"> is admitted for assistance, </w:t>
      </w:r>
      <w:r w:rsidR="000F60E4" w:rsidRPr="00A76818">
        <w:rPr>
          <w:rFonts w:ascii="Calibri" w:hAnsi="Calibri"/>
          <w:color w:val="000000" w:themeColor="text1"/>
        </w:rPr>
        <w:t xml:space="preserve">service providers </w:t>
      </w:r>
      <w:r w:rsidRPr="00A76818">
        <w:rPr>
          <w:rFonts w:ascii="Calibri" w:hAnsi="Calibri"/>
          <w:color w:val="000000" w:themeColor="text1"/>
        </w:rPr>
        <w:t xml:space="preserve">must take nondiscriminatory steps that may be necessary and appropriate to address privacy concerns raised by </w:t>
      </w:r>
      <w:r w:rsidR="000F60E4" w:rsidRPr="00A76818">
        <w:rPr>
          <w:rFonts w:ascii="Calibri" w:hAnsi="Calibri"/>
          <w:color w:val="000000" w:themeColor="text1"/>
        </w:rPr>
        <w:t>the household</w:t>
      </w:r>
      <w:r w:rsidRPr="00A76818">
        <w:rPr>
          <w:rFonts w:ascii="Calibri" w:hAnsi="Calibri"/>
          <w:color w:val="000000" w:themeColor="text1"/>
        </w:rPr>
        <w:t xml:space="preserve"> </w:t>
      </w:r>
      <w:proofErr w:type="gramStart"/>
      <w:r w:rsidRPr="00A76818">
        <w:rPr>
          <w:rFonts w:ascii="Calibri" w:hAnsi="Calibri"/>
          <w:color w:val="000000" w:themeColor="text1"/>
        </w:rPr>
        <w:t>and,</w:t>
      </w:r>
      <w:proofErr w:type="gramEnd"/>
      <w:r w:rsidRPr="00A76818">
        <w:rPr>
          <w:rFonts w:ascii="Calibri" w:hAnsi="Calibri"/>
          <w:color w:val="000000" w:themeColor="text1"/>
        </w:rPr>
        <w:t xml:space="preserve"> as needed, update admissions, occupancy, and operating policies and procedures in accordance with the CPD Equal Access Rule (81 FR 64782).</w:t>
      </w:r>
    </w:p>
    <w:p w14:paraId="02059698" w14:textId="2D6B9E4B" w:rsidR="00BC6C26" w:rsidRDefault="00BC6C26" w:rsidP="000604EE">
      <w:pPr>
        <w:contextualSpacing/>
        <w:rPr>
          <w:rFonts w:ascii="Calibri" w:hAnsi="Calibri" w:cs="Calibri"/>
          <w:color w:val="000000" w:themeColor="text1"/>
        </w:rPr>
      </w:pPr>
    </w:p>
    <w:p w14:paraId="22E309D2" w14:textId="03CF708F" w:rsidR="00DA30C2" w:rsidRPr="0058586C" w:rsidRDefault="00BC6C26" w:rsidP="000604EE">
      <w:pPr>
        <w:pStyle w:val="Heading2"/>
        <w:numPr>
          <w:ilvl w:val="0"/>
          <w:numId w:val="1"/>
        </w:numPr>
        <w:spacing w:before="0" w:line="240" w:lineRule="auto"/>
        <w:contextualSpacing/>
        <w:rPr>
          <w:color w:val="0070C0"/>
        </w:rPr>
      </w:pPr>
      <w:bookmarkStart w:id="126" w:name="_Toc124255035"/>
      <w:r w:rsidRPr="0058586C">
        <w:rPr>
          <w:color w:val="0070C0"/>
        </w:rPr>
        <w:t>Housing Requirements</w:t>
      </w:r>
      <w:bookmarkEnd w:id="126"/>
    </w:p>
    <w:p w14:paraId="5BB4D16C" w14:textId="5466BF2F" w:rsidR="00BC6C26" w:rsidRPr="00A76818" w:rsidRDefault="00BC6C26" w:rsidP="000604EE">
      <w:pPr>
        <w:pStyle w:val="ListParagraph"/>
        <w:numPr>
          <w:ilvl w:val="1"/>
          <w:numId w:val="1"/>
        </w:numPr>
        <w:rPr>
          <w:rFonts w:ascii="Calibri" w:hAnsi="Calibri" w:cs="Calibri"/>
          <w:color w:val="000000" w:themeColor="text1"/>
        </w:rPr>
      </w:pPr>
      <w:r w:rsidRPr="00A76818">
        <w:rPr>
          <w:rFonts w:ascii="Calibri" w:hAnsi="Calibri" w:cs="Calibri"/>
          <w:color w:val="000000" w:themeColor="text1"/>
        </w:rPr>
        <w:t xml:space="preserve">Suitable Dwelling Size </w:t>
      </w:r>
    </w:p>
    <w:p w14:paraId="42D3097B" w14:textId="564B424F" w:rsidR="00BC6C26" w:rsidRPr="00A76818" w:rsidRDefault="000F60E4"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Service providers</w:t>
      </w:r>
      <w:r w:rsidR="00BC6C26" w:rsidRPr="00A76818">
        <w:rPr>
          <w:rFonts w:ascii="Calibri" w:hAnsi="Calibri" w:cs="Calibri"/>
          <w:color w:val="000000" w:themeColor="text1"/>
        </w:rPr>
        <w:t xml:space="preserve"> must establish guidelines </w:t>
      </w:r>
      <w:r w:rsidRPr="00A76818">
        <w:rPr>
          <w:rFonts w:ascii="Calibri" w:hAnsi="Calibri" w:cs="Calibri"/>
          <w:color w:val="000000" w:themeColor="text1"/>
        </w:rPr>
        <w:t>for</w:t>
      </w:r>
      <w:r w:rsidR="00BC6C26" w:rsidRPr="00A76818">
        <w:rPr>
          <w:rFonts w:ascii="Calibri" w:hAnsi="Calibri" w:cs="Calibri"/>
          <w:color w:val="000000" w:themeColor="text1"/>
        </w:rPr>
        <w:t xml:space="preserve"> the appropriate unit size; these guidelines must be applied consistently for all </w:t>
      </w:r>
      <w:r w:rsidRPr="00A76818">
        <w:rPr>
          <w:rFonts w:ascii="Calibri" w:hAnsi="Calibri" w:cs="Calibri"/>
          <w:color w:val="000000" w:themeColor="text1"/>
        </w:rPr>
        <w:t>households</w:t>
      </w:r>
      <w:r w:rsidR="00BC6C26" w:rsidRPr="00A76818">
        <w:rPr>
          <w:rFonts w:ascii="Calibri" w:hAnsi="Calibri" w:cs="Calibri"/>
          <w:color w:val="000000" w:themeColor="text1"/>
        </w:rPr>
        <w:t xml:space="preserve"> of like size and composition. Agency standards cannot have a disproportionate impact on specific </w:t>
      </w:r>
      <w:r w:rsidRPr="00A76818">
        <w:rPr>
          <w:rFonts w:ascii="Calibri" w:hAnsi="Calibri" w:cs="Calibri"/>
          <w:color w:val="000000" w:themeColor="text1"/>
        </w:rPr>
        <w:t>household</w:t>
      </w:r>
      <w:r w:rsidR="00BC6C26" w:rsidRPr="00A76818">
        <w:rPr>
          <w:rFonts w:ascii="Calibri" w:hAnsi="Calibri" w:cs="Calibri"/>
          <w:color w:val="000000" w:themeColor="text1"/>
        </w:rPr>
        <w:t xml:space="preserve"> composition (i.e., nontraditional </w:t>
      </w:r>
      <w:r w:rsidRPr="00A76818">
        <w:rPr>
          <w:rFonts w:ascii="Calibri" w:hAnsi="Calibri" w:cs="Calibri"/>
          <w:color w:val="000000" w:themeColor="text1"/>
        </w:rPr>
        <w:t>families</w:t>
      </w:r>
      <w:r w:rsidR="00BC6C26" w:rsidRPr="00A76818">
        <w:rPr>
          <w:rFonts w:ascii="Calibri" w:hAnsi="Calibri" w:cs="Calibri"/>
          <w:color w:val="000000" w:themeColor="text1"/>
        </w:rPr>
        <w:t xml:space="preserve">). </w:t>
      </w:r>
      <w:r w:rsidRPr="00A76818">
        <w:rPr>
          <w:rFonts w:ascii="Calibri" w:hAnsi="Calibri" w:cs="Calibri"/>
          <w:color w:val="000000" w:themeColor="text1"/>
        </w:rPr>
        <w:t>Households</w:t>
      </w:r>
      <w:r w:rsidR="00BC6C26" w:rsidRPr="00A76818">
        <w:rPr>
          <w:rFonts w:ascii="Calibri" w:hAnsi="Calibri" w:cs="Calibri"/>
          <w:color w:val="000000" w:themeColor="text1"/>
        </w:rPr>
        <w:t xml:space="preserve"> must be placed in units that are of suitable size: the unit must have at least one (1) bedroom or living/sleeping room for each two (2) persons. </w:t>
      </w:r>
    </w:p>
    <w:p w14:paraId="351F8714" w14:textId="77777777" w:rsidR="00BC6C26" w:rsidRPr="00A76818" w:rsidRDefault="00BC6C26"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 xml:space="preserve">Children of opposite sex, other than very young children, may not be required to occupy the same bedroom or living/sleeping room. </w:t>
      </w:r>
    </w:p>
    <w:p w14:paraId="158DEA7A" w14:textId="7382F6B3" w:rsidR="00BC6C26" w:rsidRPr="00A76818" w:rsidRDefault="000F60E4"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lastRenderedPageBreak/>
        <w:t>Households</w:t>
      </w:r>
      <w:r w:rsidR="00BC6C26" w:rsidRPr="00A76818">
        <w:rPr>
          <w:rFonts w:ascii="Calibri" w:hAnsi="Calibri" w:cs="Calibri"/>
          <w:color w:val="000000" w:themeColor="text1"/>
        </w:rPr>
        <w:t xml:space="preserve"> should be assisted in choosing a unit with the smallest number of bedrooms needed without overcrowding. Except in limited circumstances (i.e., request for reasonable accommodation, etc.), </w:t>
      </w:r>
      <w:r w:rsidRPr="00A76818">
        <w:rPr>
          <w:rFonts w:ascii="Calibri" w:hAnsi="Calibri" w:cs="Calibri"/>
          <w:color w:val="000000" w:themeColor="text1"/>
        </w:rPr>
        <w:t>household</w:t>
      </w:r>
      <w:r w:rsidR="00BC6C26" w:rsidRPr="00A76818">
        <w:rPr>
          <w:rFonts w:ascii="Calibri" w:hAnsi="Calibri" w:cs="Calibri"/>
          <w:color w:val="000000" w:themeColor="text1"/>
        </w:rPr>
        <w:t xml:space="preserve">s should not be assisted in units with a greater number of bedrooms than is needed. </w:t>
      </w:r>
    </w:p>
    <w:p w14:paraId="74185EC8" w14:textId="77777777" w:rsidR="0029506D" w:rsidRPr="00A76818" w:rsidRDefault="00BC6C26"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 xml:space="preserve">If household composition changes during the term of assistance, households should be assisted in relocating to a more appropriately sized unit and continue to access appropriate services. </w:t>
      </w:r>
    </w:p>
    <w:p w14:paraId="29250E24" w14:textId="77777777" w:rsidR="0029506D" w:rsidRPr="00A76818" w:rsidRDefault="0029506D" w:rsidP="000604EE">
      <w:pPr>
        <w:pStyle w:val="ListParagraph"/>
        <w:numPr>
          <w:ilvl w:val="1"/>
          <w:numId w:val="1"/>
        </w:numPr>
        <w:rPr>
          <w:rFonts w:ascii="Calibri" w:hAnsi="Calibri" w:cs="Calibri"/>
          <w:color w:val="000000" w:themeColor="text1"/>
        </w:rPr>
      </w:pPr>
      <w:r w:rsidRPr="00A76818">
        <w:rPr>
          <w:rFonts w:ascii="Calibri" w:hAnsi="Calibri" w:cs="Calibri"/>
          <w:color w:val="000000" w:themeColor="text1"/>
        </w:rPr>
        <w:t xml:space="preserve">HUD Housing Quality Standard List </w:t>
      </w:r>
    </w:p>
    <w:p w14:paraId="221E8614" w14:textId="77777777" w:rsidR="0029506D" w:rsidRPr="00A76818" w:rsidRDefault="0029506D"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 xml:space="preserve">Local: Each rapid-rehousing, homelessness prevention, and permanent supportive housing provider must complete the HUD Inspection Checklist before a household moves into a unit or begins to receive assistance for a current unit. </w:t>
      </w:r>
    </w:p>
    <w:p w14:paraId="6C9B77BD" w14:textId="77777777" w:rsidR="0029506D" w:rsidRPr="00A76818" w:rsidRDefault="0029506D"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At a minimum, the inspection must cover the following categories:</w:t>
      </w:r>
    </w:p>
    <w:p w14:paraId="445BA523" w14:textId="6B45B772" w:rsidR="0029506D" w:rsidRPr="00A76818" w:rsidRDefault="0029506D"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 xml:space="preserve">Housing Type </w:t>
      </w:r>
    </w:p>
    <w:p w14:paraId="0ADAF8A0" w14:textId="77777777" w:rsidR="0029506D" w:rsidRPr="00A76818" w:rsidRDefault="0029506D"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 xml:space="preserve">Living Room </w:t>
      </w:r>
    </w:p>
    <w:p w14:paraId="0D80BB7D"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Electricity/Electrical Hazards </w:t>
      </w:r>
    </w:p>
    <w:p w14:paraId="1EA56814"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Security</w:t>
      </w:r>
    </w:p>
    <w:p w14:paraId="4A968D8C"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Window, Ceiling, Wall, and Floor Condition </w:t>
      </w:r>
    </w:p>
    <w:p w14:paraId="0CC11C3D"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Lead-Based Paint </w:t>
      </w:r>
    </w:p>
    <w:p w14:paraId="6765049C" w14:textId="77777777" w:rsidR="0029506D" w:rsidRPr="00A76818" w:rsidRDefault="0029506D"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 xml:space="preserve">Kitchen </w:t>
      </w:r>
    </w:p>
    <w:p w14:paraId="296EB435"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Electricity/Electrical Hazards </w:t>
      </w:r>
    </w:p>
    <w:p w14:paraId="17041F70"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Security</w:t>
      </w:r>
    </w:p>
    <w:p w14:paraId="1436B86C"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Window, Ceiling, Wall, and Floor Condition </w:t>
      </w:r>
    </w:p>
    <w:p w14:paraId="124DCB92"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Lead-Based Paint </w:t>
      </w:r>
    </w:p>
    <w:p w14:paraId="4D876CB1" w14:textId="77777777" w:rsidR="0029506D" w:rsidRPr="00A76818" w:rsidRDefault="0029506D"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 xml:space="preserve">Bathroom </w:t>
      </w:r>
    </w:p>
    <w:p w14:paraId="5F61952B"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Electricity/Electrical Hazards </w:t>
      </w:r>
    </w:p>
    <w:p w14:paraId="3DA48EC7"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Security</w:t>
      </w:r>
    </w:p>
    <w:p w14:paraId="6D06414E"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Window, Ceiling, Wall, and Floor Condition </w:t>
      </w:r>
    </w:p>
    <w:p w14:paraId="24044573"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Lead-Based Paint </w:t>
      </w:r>
    </w:p>
    <w:p w14:paraId="52E906D9"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Flush toilet, fixed wash basin, tub/shower in unit </w:t>
      </w:r>
    </w:p>
    <w:p w14:paraId="50B883E7"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Ventilation </w:t>
      </w:r>
    </w:p>
    <w:p w14:paraId="51A92349" w14:textId="77777777" w:rsidR="0029506D" w:rsidRPr="00A76818" w:rsidRDefault="0029506D"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 xml:space="preserve">Other Rooms Used for Living and Halls </w:t>
      </w:r>
    </w:p>
    <w:p w14:paraId="60BB96B6"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Electricity/Illumination/Electrical Hazards </w:t>
      </w:r>
    </w:p>
    <w:p w14:paraId="1791B33D"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Security</w:t>
      </w:r>
    </w:p>
    <w:p w14:paraId="4B95ECF2"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Window, Ceiling, Wall, and Floor Condition </w:t>
      </w:r>
    </w:p>
    <w:p w14:paraId="51AFEC2F"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Lead-Based Paint </w:t>
      </w:r>
    </w:p>
    <w:p w14:paraId="6504B2F8"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Smoke Detectors</w:t>
      </w:r>
    </w:p>
    <w:p w14:paraId="0052C384" w14:textId="77777777" w:rsidR="0029506D" w:rsidRPr="00A76818" w:rsidRDefault="0029506D"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lastRenderedPageBreak/>
        <w:t xml:space="preserve">Other Secondary Rooms (Rooms not used for living) </w:t>
      </w:r>
    </w:p>
    <w:p w14:paraId="02235641"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Security </w:t>
      </w:r>
    </w:p>
    <w:p w14:paraId="20B0B10A"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Electrical Hazards </w:t>
      </w:r>
    </w:p>
    <w:p w14:paraId="3584A20A"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Other potentially hazardous features in these rooms </w:t>
      </w:r>
    </w:p>
    <w:p w14:paraId="3C493648" w14:textId="77777777" w:rsidR="0029506D" w:rsidRPr="00A76818" w:rsidRDefault="0029506D"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 xml:space="preserve">Building Exterior </w:t>
      </w:r>
    </w:p>
    <w:p w14:paraId="5FB445D1"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Condition of Foundation, Stairs, Rails, Porches, Roof, Gutters, Exterior Surfaces, and Chimney </w:t>
      </w:r>
    </w:p>
    <w:p w14:paraId="21E73EB7"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Lead-Based Pain </w:t>
      </w:r>
    </w:p>
    <w:p w14:paraId="3F5DB983"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Tie Downs (if manufactured home) </w:t>
      </w:r>
    </w:p>
    <w:p w14:paraId="09A2B7ED" w14:textId="77777777" w:rsidR="0029506D" w:rsidRPr="00A76818" w:rsidRDefault="0029506D"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 xml:space="preserve">Heating and Plumbing </w:t>
      </w:r>
    </w:p>
    <w:p w14:paraId="4276B0B3"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Adequacy/Safety of Heating Equipment</w:t>
      </w:r>
    </w:p>
    <w:p w14:paraId="5E65A64E"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Ventilation/Cooling </w:t>
      </w:r>
    </w:p>
    <w:p w14:paraId="7CA9F206"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Water Heater </w:t>
      </w:r>
    </w:p>
    <w:p w14:paraId="1EB6BB68"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Approvable Water Supply </w:t>
      </w:r>
    </w:p>
    <w:p w14:paraId="6340358F"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Plumbing/Sewer Connection </w:t>
      </w:r>
    </w:p>
    <w:p w14:paraId="3153924E" w14:textId="77777777" w:rsidR="0029506D" w:rsidRPr="00A76818" w:rsidRDefault="0029506D"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 xml:space="preserve">General Health and Safety </w:t>
      </w:r>
    </w:p>
    <w:p w14:paraId="6E208EA1"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Access to Unit/Fire Exits </w:t>
      </w:r>
    </w:p>
    <w:p w14:paraId="720C9D96"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Evidence of Infestation </w:t>
      </w:r>
    </w:p>
    <w:p w14:paraId="6906814B"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Garbage and Debris/Refuse Disposal </w:t>
      </w:r>
    </w:p>
    <w:p w14:paraId="399B198D"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Interior Stairs and Common Halls </w:t>
      </w:r>
    </w:p>
    <w:p w14:paraId="0E300101"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Other Interior Hazards </w:t>
      </w:r>
    </w:p>
    <w:p w14:paraId="62A3417A"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Elevators</w:t>
      </w:r>
    </w:p>
    <w:p w14:paraId="2C13D56A"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Interior Air Quality </w:t>
      </w:r>
    </w:p>
    <w:p w14:paraId="0FEF1329" w14:textId="77777777" w:rsidR="0029506D" w:rsidRPr="00A76818" w:rsidRDefault="0029506D"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Site and Neighborhood Conditions </w:t>
      </w:r>
    </w:p>
    <w:p w14:paraId="4A7C376F" w14:textId="4205D1CB" w:rsidR="0029506D" w:rsidRPr="00A76818" w:rsidRDefault="0029506D"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 xml:space="preserve">Full HUD Inspection Checklist can be found here: </w:t>
      </w:r>
      <w:hyperlink r:id="rId21" w:history="1">
        <w:r w:rsidRPr="00A76818">
          <w:rPr>
            <w:rStyle w:val="Hyperlink"/>
            <w:color w:val="000000" w:themeColor="text1"/>
          </w:rPr>
          <w:t>https://www.hud.gov/sites/documents/DOC_11775.PDF</w:t>
        </w:r>
      </w:hyperlink>
    </w:p>
    <w:p w14:paraId="582ABDC7" w14:textId="194D6DDB" w:rsidR="00BC6C26" w:rsidRPr="00A76818" w:rsidRDefault="00BC6C26" w:rsidP="000604EE">
      <w:pPr>
        <w:pStyle w:val="ListParagraph"/>
        <w:numPr>
          <w:ilvl w:val="1"/>
          <w:numId w:val="1"/>
        </w:numPr>
        <w:rPr>
          <w:rFonts w:ascii="Calibri" w:hAnsi="Calibri" w:cs="Calibri"/>
          <w:color w:val="000000" w:themeColor="text1"/>
        </w:rPr>
      </w:pPr>
      <w:r w:rsidRPr="00A76818">
        <w:rPr>
          <w:rFonts w:ascii="Calibri" w:hAnsi="Calibri" w:cs="Calibri"/>
          <w:color w:val="000000" w:themeColor="text1"/>
        </w:rPr>
        <w:t xml:space="preserve">Lead-Based Paint Requirement </w:t>
      </w:r>
    </w:p>
    <w:p w14:paraId="7ABF695C" w14:textId="6C723F2D" w:rsidR="00BC6C26" w:rsidRPr="00A76818" w:rsidRDefault="000F60E4"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Service providers</w:t>
      </w:r>
      <w:r w:rsidR="00BC6C26" w:rsidRPr="00A76818">
        <w:rPr>
          <w:rFonts w:ascii="Calibri" w:hAnsi="Calibri" w:cs="Calibri"/>
          <w:color w:val="000000" w:themeColor="text1"/>
        </w:rPr>
        <w:t xml:space="preserve"> must comply with the Lead-Based Paint Poisoning Prevention Act of 1973 and the regulation at 24 CFR § 35. The applicable parts of 24 CFR § 35 are as follows: </w:t>
      </w:r>
    </w:p>
    <w:p w14:paraId="1C39F67F" w14:textId="69CF563A" w:rsidR="00BC6C26" w:rsidRPr="00A76818" w:rsidRDefault="00BC6C26"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 xml:space="preserve">For ESG-funded shelters and housing occupied by </w:t>
      </w:r>
      <w:r w:rsidR="000F60E4" w:rsidRPr="00A76818">
        <w:rPr>
          <w:rFonts w:ascii="Calibri" w:hAnsi="Calibri" w:cs="Calibri"/>
          <w:color w:val="000000" w:themeColor="text1"/>
        </w:rPr>
        <w:t>households</w:t>
      </w:r>
      <w:r w:rsidRPr="00A76818">
        <w:rPr>
          <w:rFonts w:ascii="Calibri" w:hAnsi="Calibri" w:cs="Calibri"/>
          <w:color w:val="000000" w:themeColor="text1"/>
        </w:rPr>
        <w:t xml:space="preserve">, </w:t>
      </w:r>
      <w:r w:rsidR="000F60E4" w:rsidRPr="00A76818">
        <w:rPr>
          <w:rFonts w:ascii="Calibri" w:hAnsi="Calibri" w:cs="Calibri"/>
          <w:color w:val="000000" w:themeColor="text1"/>
        </w:rPr>
        <w:t>service providers</w:t>
      </w:r>
      <w:r w:rsidRPr="00A76818">
        <w:rPr>
          <w:rFonts w:ascii="Calibri" w:hAnsi="Calibri" w:cs="Calibri"/>
          <w:color w:val="000000" w:themeColor="text1"/>
        </w:rPr>
        <w:t xml:space="preserve"> must comply with subparts A, B, H, J, K, M and R. </w:t>
      </w:r>
    </w:p>
    <w:p w14:paraId="76B21437" w14:textId="2637B76B" w:rsidR="00BC6C26" w:rsidRPr="00A76818" w:rsidRDefault="00BC6C26"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 xml:space="preserve">For CoC-funded housing that receives project-based or sponsor-based rental assistance, </w:t>
      </w:r>
      <w:r w:rsidR="00343CC4" w:rsidRPr="00A76818">
        <w:rPr>
          <w:rFonts w:ascii="Calibri" w:hAnsi="Calibri" w:cs="Calibri"/>
          <w:color w:val="000000" w:themeColor="text1"/>
        </w:rPr>
        <w:t>service providers</w:t>
      </w:r>
      <w:r w:rsidRPr="00A76818">
        <w:rPr>
          <w:rFonts w:ascii="Calibri" w:hAnsi="Calibri" w:cs="Calibri"/>
          <w:color w:val="000000" w:themeColor="text1"/>
        </w:rPr>
        <w:t xml:space="preserve"> must comply with subparts A, B, H, and R. </w:t>
      </w:r>
    </w:p>
    <w:p w14:paraId="28BE7705" w14:textId="4FAA422A" w:rsidR="00BC6C26" w:rsidRPr="00A76818" w:rsidRDefault="00BC6C26"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 xml:space="preserve">For CoC-funded housing that receives tenant-based rental assistance, </w:t>
      </w:r>
      <w:r w:rsidR="00343CC4" w:rsidRPr="00A76818">
        <w:rPr>
          <w:rFonts w:ascii="Calibri" w:hAnsi="Calibri" w:cs="Calibri"/>
          <w:color w:val="000000" w:themeColor="text1"/>
        </w:rPr>
        <w:t>service providers</w:t>
      </w:r>
      <w:r w:rsidRPr="00A76818">
        <w:rPr>
          <w:rFonts w:ascii="Calibri" w:hAnsi="Calibri" w:cs="Calibri"/>
          <w:color w:val="000000" w:themeColor="text1"/>
        </w:rPr>
        <w:t xml:space="preserve"> must comply with subparts A, B, M, and R. </w:t>
      </w:r>
    </w:p>
    <w:p w14:paraId="2DE8CA2B" w14:textId="34493F58" w:rsidR="00BC6C26" w:rsidRPr="00A76818" w:rsidRDefault="00BC6C26"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lastRenderedPageBreak/>
        <w:t xml:space="preserve">For CoC-funded residential property receiving leasing, services or operating costs, </w:t>
      </w:r>
      <w:r w:rsidR="00343CC4" w:rsidRPr="00A76818">
        <w:rPr>
          <w:rFonts w:ascii="Calibri" w:hAnsi="Calibri" w:cs="Calibri"/>
          <w:color w:val="000000" w:themeColor="text1"/>
        </w:rPr>
        <w:t>service providers</w:t>
      </w:r>
      <w:r w:rsidRPr="00A76818">
        <w:rPr>
          <w:rFonts w:ascii="Calibri" w:hAnsi="Calibri" w:cs="Calibri"/>
          <w:color w:val="000000" w:themeColor="text1"/>
        </w:rPr>
        <w:t xml:space="preserve"> must comply with subparts A, B, K and R.</w:t>
      </w:r>
    </w:p>
    <w:p w14:paraId="56A094CF" w14:textId="77777777" w:rsidR="00BC6C26" w:rsidRPr="00A76818" w:rsidRDefault="00BC6C26"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 xml:space="preserve">Lead Hazard Information Pamphlet </w:t>
      </w:r>
    </w:p>
    <w:p w14:paraId="6979A416" w14:textId="5A1AD7FD" w:rsidR="00BC6C26" w:rsidRPr="00A76818" w:rsidRDefault="00343CC4"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Service providers</w:t>
      </w:r>
      <w:r w:rsidR="00BC6C26" w:rsidRPr="00A76818">
        <w:rPr>
          <w:rFonts w:ascii="Calibri" w:hAnsi="Calibri" w:cs="Calibri"/>
          <w:color w:val="000000" w:themeColor="text1"/>
        </w:rPr>
        <w:t xml:space="preserve"> must ensure that all </w:t>
      </w:r>
      <w:r w:rsidRPr="00A76818">
        <w:rPr>
          <w:rFonts w:ascii="Calibri" w:hAnsi="Calibri" w:cs="Calibri"/>
          <w:color w:val="000000" w:themeColor="text1"/>
        </w:rPr>
        <w:t>household</w:t>
      </w:r>
      <w:r w:rsidR="00BC6C26" w:rsidRPr="00A76818">
        <w:rPr>
          <w:rFonts w:ascii="Calibri" w:hAnsi="Calibri" w:cs="Calibri"/>
          <w:color w:val="000000" w:themeColor="text1"/>
        </w:rPr>
        <w:t>s who reside in housing that was constructed pre-1978 receive the “Protect Your Family” lead-based paint hazard brochure; this form is available at:</w:t>
      </w:r>
      <w:r w:rsidRPr="00A76818">
        <w:rPr>
          <w:rFonts w:ascii="Calibri" w:hAnsi="Calibri" w:cs="Calibri"/>
          <w:color w:val="000000" w:themeColor="text1"/>
        </w:rPr>
        <w:t xml:space="preserve"> </w:t>
      </w:r>
      <w:r w:rsidR="00BC6C26" w:rsidRPr="00A76818">
        <w:rPr>
          <w:rFonts w:ascii="Calibri" w:hAnsi="Calibri" w:cs="Calibri"/>
          <w:color w:val="000000" w:themeColor="text1"/>
        </w:rPr>
        <w:t xml:space="preserve">http://www.hud.gov/offices/lead/enforcement/disclosure.cfm. </w:t>
      </w:r>
    </w:p>
    <w:p w14:paraId="7A98C67E" w14:textId="54F76A38" w:rsidR="00BC6C26" w:rsidRPr="00A76818" w:rsidRDefault="00BC6C26"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 xml:space="preserve">Sharing this information with </w:t>
      </w:r>
      <w:r w:rsidR="00343CC4" w:rsidRPr="00A76818">
        <w:rPr>
          <w:rFonts w:ascii="Calibri" w:hAnsi="Calibri" w:cs="Calibri"/>
          <w:color w:val="000000" w:themeColor="text1"/>
        </w:rPr>
        <w:t>households</w:t>
      </w:r>
      <w:r w:rsidRPr="00A76818">
        <w:rPr>
          <w:rFonts w:ascii="Calibri" w:hAnsi="Calibri" w:cs="Calibri"/>
          <w:color w:val="000000" w:themeColor="text1"/>
        </w:rPr>
        <w:t xml:space="preserve"> (or ensuring they have received it from property owners/managers) is an important opportunity to educate </w:t>
      </w:r>
      <w:r w:rsidR="00343CC4" w:rsidRPr="00A76818">
        <w:rPr>
          <w:rFonts w:ascii="Calibri" w:hAnsi="Calibri" w:cs="Calibri"/>
          <w:color w:val="000000" w:themeColor="text1"/>
        </w:rPr>
        <w:t>households</w:t>
      </w:r>
      <w:r w:rsidRPr="00A76818">
        <w:rPr>
          <w:rFonts w:ascii="Calibri" w:hAnsi="Calibri" w:cs="Calibri"/>
          <w:color w:val="000000" w:themeColor="text1"/>
        </w:rPr>
        <w:t xml:space="preserve"> about the potential hazards related to lead and their rights as tenants. Informed </w:t>
      </w:r>
      <w:r w:rsidR="00343CC4" w:rsidRPr="00A76818">
        <w:rPr>
          <w:rFonts w:ascii="Calibri" w:hAnsi="Calibri" w:cs="Calibri"/>
          <w:color w:val="000000" w:themeColor="text1"/>
        </w:rPr>
        <w:t>household</w:t>
      </w:r>
      <w:r w:rsidRPr="00A76818">
        <w:rPr>
          <w:rFonts w:ascii="Calibri" w:hAnsi="Calibri" w:cs="Calibri"/>
          <w:color w:val="000000" w:themeColor="text1"/>
        </w:rPr>
        <w:t>s are more likely to watch for potential problems in their home and proactively work with landlords to address any issues.</w:t>
      </w:r>
    </w:p>
    <w:p w14:paraId="5203BC32" w14:textId="77777777" w:rsidR="00BC6C26" w:rsidRPr="00A76818" w:rsidRDefault="00BC6C26"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 xml:space="preserve">Disclosure </w:t>
      </w:r>
    </w:p>
    <w:p w14:paraId="74579DB5" w14:textId="4C259D2C" w:rsidR="00BC6C26" w:rsidRPr="003D267D" w:rsidRDefault="00BC6C26" w:rsidP="000604EE">
      <w:pPr>
        <w:pStyle w:val="ListParagraph"/>
        <w:numPr>
          <w:ilvl w:val="3"/>
          <w:numId w:val="1"/>
        </w:numPr>
        <w:rPr>
          <w:rStyle w:val="Hyperlink"/>
          <w:rFonts w:ascii="Calibri" w:hAnsi="Calibri" w:cs="Calibri"/>
          <w:color w:val="000000" w:themeColor="text1"/>
          <w:u w:val="none"/>
        </w:rPr>
      </w:pPr>
      <w:r w:rsidRPr="00A76818">
        <w:rPr>
          <w:rFonts w:ascii="Calibri" w:hAnsi="Calibri" w:cs="Calibri"/>
          <w:color w:val="000000" w:themeColor="text1"/>
        </w:rPr>
        <w:t xml:space="preserve">In addition, owners of pre-1978 housing must disclose the presence of lead-based paint and provide </w:t>
      </w:r>
      <w:r w:rsidR="00343CC4" w:rsidRPr="00A76818">
        <w:rPr>
          <w:rFonts w:ascii="Calibri" w:hAnsi="Calibri" w:cs="Calibri"/>
          <w:color w:val="000000" w:themeColor="text1"/>
        </w:rPr>
        <w:t>households</w:t>
      </w:r>
      <w:r w:rsidRPr="00A76818">
        <w:rPr>
          <w:rFonts w:ascii="Calibri" w:hAnsi="Calibri" w:cs="Calibri"/>
          <w:color w:val="000000" w:themeColor="text1"/>
        </w:rPr>
        <w:t xml:space="preserve"> with any existing documentation on known lead-based paint hazards in the unit.</w:t>
      </w:r>
      <w:r w:rsidR="00343CC4" w:rsidRPr="00A76818">
        <w:rPr>
          <w:rFonts w:ascii="Calibri" w:hAnsi="Calibri" w:cs="Calibri"/>
          <w:color w:val="000000" w:themeColor="text1"/>
        </w:rPr>
        <w:t xml:space="preserve"> Service providers</w:t>
      </w:r>
      <w:r w:rsidRPr="00A76818">
        <w:rPr>
          <w:rFonts w:ascii="Calibri" w:hAnsi="Calibri" w:cs="Calibri"/>
          <w:color w:val="000000" w:themeColor="text1"/>
        </w:rPr>
        <w:t xml:space="preserve"> must document that </w:t>
      </w:r>
      <w:r w:rsidR="00343CC4" w:rsidRPr="00A76818">
        <w:rPr>
          <w:rFonts w:ascii="Calibri" w:hAnsi="Calibri" w:cs="Calibri"/>
          <w:color w:val="000000" w:themeColor="text1"/>
        </w:rPr>
        <w:t>households</w:t>
      </w:r>
      <w:r w:rsidRPr="00A76818">
        <w:rPr>
          <w:rFonts w:ascii="Calibri" w:hAnsi="Calibri" w:cs="Calibri"/>
          <w:color w:val="000000" w:themeColor="text1"/>
        </w:rPr>
        <w:t xml:space="preserve"> received this information and maintain this documentation in the </w:t>
      </w:r>
      <w:r w:rsidR="00343CC4" w:rsidRPr="00A76818">
        <w:rPr>
          <w:rFonts w:ascii="Calibri" w:hAnsi="Calibri" w:cs="Calibri"/>
          <w:color w:val="000000" w:themeColor="text1"/>
        </w:rPr>
        <w:t xml:space="preserve">household’s </w:t>
      </w:r>
      <w:r w:rsidRPr="00A76818">
        <w:rPr>
          <w:rFonts w:ascii="Calibri" w:hAnsi="Calibri" w:cs="Calibri"/>
          <w:color w:val="000000" w:themeColor="text1"/>
        </w:rPr>
        <w:t xml:space="preserve">files; this form is available at: </w:t>
      </w:r>
      <w:hyperlink r:id="rId22" w:history="1">
        <w:r w:rsidRPr="00A76818">
          <w:rPr>
            <w:rStyle w:val="Hyperlink"/>
            <w:rFonts w:ascii="Calibri" w:hAnsi="Calibri" w:cs="Calibri"/>
            <w:color w:val="000000" w:themeColor="text1"/>
          </w:rPr>
          <w:t>http://www.hud.gov/offices/lead/enforcement/disclosure.cfm</w:t>
        </w:r>
      </w:hyperlink>
    </w:p>
    <w:p w14:paraId="5A0B6DC9" w14:textId="77777777" w:rsidR="003D267D" w:rsidRPr="003D267D" w:rsidRDefault="003D267D" w:rsidP="003D267D">
      <w:pPr>
        <w:ind w:left="2520"/>
        <w:rPr>
          <w:rFonts w:ascii="Calibri" w:hAnsi="Calibri" w:cs="Calibri"/>
          <w:color w:val="000000" w:themeColor="text1"/>
        </w:rPr>
      </w:pPr>
    </w:p>
    <w:p w14:paraId="604A16E6" w14:textId="77777777" w:rsidR="00BC6C26" w:rsidRPr="00A76818" w:rsidRDefault="00BC6C26"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 xml:space="preserve">Visual Assessments </w:t>
      </w:r>
    </w:p>
    <w:p w14:paraId="155D4FFF" w14:textId="560C2823" w:rsidR="00BC6C26" w:rsidRPr="00A76818" w:rsidRDefault="00BC6C26"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 xml:space="preserve">The lead‐based paint visual assessment requirement exists to protect vulnerable </w:t>
      </w:r>
      <w:r w:rsidR="00343CC4" w:rsidRPr="00A76818">
        <w:rPr>
          <w:rFonts w:ascii="Calibri" w:hAnsi="Calibri" w:cs="Calibri"/>
          <w:color w:val="000000" w:themeColor="text1"/>
        </w:rPr>
        <w:t>household</w:t>
      </w:r>
      <w:r w:rsidRPr="00A76818">
        <w:rPr>
          <w:rFonts w:ascii="Calibri" w:hAnsi="Calibri" w:cs="Calibri"/>
          <w:color w:val="000000" w:themeColor="text1"/>
        </w:rPr>
        <w:t xml:space="preserve">s from potential health hazards. </w:t>
      </w:r>
    </w:p>
    <w:p w14:paraId="37D2A654" w14:textId="77777777" w:rsidR="00BC6C26" w:rsidRPr="00A76818" w:rsidRDefault="00BC6C26"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 xml:space="preserve">A lead‐based paint visual assessment must be completed for all units that meet the following conditions: </w:t>
      </w:r>
    </w:p>
    <w:p w14:paraId="2743C34D" w14:textId="77777777" w:rsidR="00BC6C26" w:rsidRPr="00A76818" w:rsidRDefault="00BC6C26"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The household is moving into or remaining in a unit that is being assisted with either ESG or CoC funds; and </w:t>
      </w:r>
    </w:p>
    <w:p w14:paraId="6DA83231" w14:textId="77777777" w:rsidR="00BC6C26" w:rsidRPr="00A76818" w:rsidRDefault="00BC6C26"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The unit was constructed prior to 1978. </w:t>
      </w:r>
    </w:p>
    <w:p w14:paraId="689A7E1B" w14:textId="77777777" w:rsidR="00BC6C26" w:rsidRPr="00A76818" w:rsidRDefault="00BC6C26"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For ESG- and CoC-tenant-based rental assistance, there must also be a child under the age of six (6) or a pregnant woman who is, or will be, living in the unit. </w:t>
      </w:r>
    </w:p>
    <w:p w14:paraId="09E4B8D7" w14:textId="2B616085" w:rsidR="00BC6C26" w:rsidRPr="00A76818" w:rsidRDefault="00BC6C26"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 xml:space="preserve">For units and facilities that meet these conditions, </w:t>
      </w:r>
      <w:r w:rsidR="00343CC4" w:rsidRPr="00A76818">
        <w:rPr>
          <w:rFonts w:ascii="Calibri" w:hAnsi="Calibri" w:cs="Calibri"/>
          <w:color w:val="000000" w:themeColor="text1"/>
        </w:rPr>
        <w:t>service providers</w:t>
      </w:r>
      <w:r w:rsidRPr="00A76818">
        <w:rPr>
          <w:rFonts w:ascii="Calibri" w:hAnsi="Calibri" w:cs="Calibri"/>
          <w:color w:val="000000" w:themeColor="text1"/>
        </w:rPr>
        <w:t xml:space="preserve"> must conduct a visual assessment at least annually. </w:t>
      </w:r>
      <w:r w:rsidR="00C777B8" w:rsidRPr="00A76818">
        <w:rPr>
          <w:rFonts w:ascii="Calibri" w:hAnsi="Calibri" w:cs="Calibri"/>
          <w:color w:val="000000" w:themeColor="text1"/>
        </w:rPr>
        <w:t>For rental units, a visual assessment must be conducted prior to providing rent</w:t>
      </w:r>
      <w:r w:rsidR="00C777B8">
        <w:rPr>
          <w:rFonts w:ascii="Calibri" w:hAnsi="Calibri" w:cs="Calibri"/>
          <w:color w:val="000000" w:themeColor="text1"/>
        </w:rPr>
        <w:t>al</w:t>
      </w:r>
      <w:r w:rsidR="00C777B8" w:rsidRPr="00A76818">
        <w:rPr>
          <w:rFonts w:ascii="Calibri" w:hAnsi="Calibri" w:cs="Calibri"/>
          <w:color w:val="000000" w:themeColor="text1"/>
        </w:rPr>
        <w:t xml:space="preserve"> assistance and on an annual basis thereafter (as long as assistance is provided). </w:t>
      </w:r>
      <w:r w:rsidRPr="00A76818">
        <w:rPr>
          <w:rFonts w:ascii="Calibri" w:hAnsi="Calibri" w:cs="Calibri"/>
          <w:color w:val="000000" w:themeColor="text1"/>
        </w:rPr>
        <w:t xml:space="preserve">The </w:t>
      </w:r>
      <w:r w:rsidR="00343CC4" w:rsidRPr="00A76818">
        <w:rPr>
          <w:rFonts w:ascii="Calibri" w:hAnsi="Calibri" w:cs="Calibri"/>
          <w:color w:val="000000" w:themeColor="text1"/>
        </w:rPr>
        <w:t>service provider</w:t>
      </w:r>
      <w:r w:rsidRPr="00A76818">
        <w:rPr>
          <w:rFonts w:ascii="Calibri" w:hAnsi="Calibri" w:cs="Calibri"/>
          <w:color w:val="000000" w:themeColor="text1"/>
        </w:rPr>
        <w:t xml:space="preserve"> must maintain the inspection record in each </w:t>
      </w:r>
      <w:r w:rsidR="0013511D" w:rsidRPr="00A76818">
        <w:rPr>
          <w:rFonts w:ascii="Calibri" w:hAnsi="Calibri" w:cs="Calibri"/>
          <w:color w:val="000000" w:themeColor="text1"/>
        </w:rPr>
        <w:t>household</w:t>
      </w:r>
      <w:r w:rsidRPr="00A76818">
        <w:rPr>
          <w:rFonts w:ascii="Calibri" w:hAnsi="Calibri" w:cs="Calibri"/>
          <w:color w:val="000000" w:themeColor="text1"/>
        </w:rPr>
        <w:t xml:space="preserve">’s file. </w:t>
      </w:r>
    </w:p>
    <w:p w14:paraId="2693BA38" w14:textId="77777777" w:rsidR="00BC6C26" w:rsidRPr="00A76818" w:rsidRDefault="00BC6C26"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Visual assessments must be conducted by a HUD‐Certified Visual Assessor. </w:t>
      </w:r>
    </w:p>
    <w:p w14:paraId="0C5BACF8" w14:textId="351E0DDA" w:rsidR="00BC6C26" w:rsidRPr="00A76818" w:rsidRDefault="00343CC4"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Service provider</w:t>
      </w:r>
      <w:r w:rsidR="00BC6C26" w:rsidRPr="00A76818">
        <w:rPr>
          <w:rFonts w:ascii="Calibri" w:hAnsi="Calibri" w:cs="Calibri"/>
          <w:color w:val="000000" w:themeColor="text1"/>
        </w:rPr>
        <w:t xml:space="preserve"> staff may complete the Visual Assessment Training at</w:t>
      </w:r>
      <w:r w:rsidRPr="00A76818">
        <w:rPr>
          <w:rFonts w:ascii="Calibri" w:hAnsi="Calibri" w:cs="Calibri"/>
          <w:color w:val="000000" w:themeColor="text1"/>
        </w:rPr>
        <w:t xml:space="preserve">: </w:t>
      </w:r>
      <w:hyperlink r:id="rId23" w:history="1">
        <w:r w:rsidRPr="00A76818">
          <w:rPr>
            <w:rStyle w:val="Hyperlink"/>
            <w:rFonts w:ascii="Calibri" w:hAnsi="Calibri" w:cs="Calibri"/>
            <w:color w:val="000000" w:themeColor="text1"/>
          </w:rPr>
          <w:t>http://www.hud.gov/offices/lead/training/visualassessment/h00101.htm</w:t>
        </w:r>
      </w:hyperlink>
      <w:r w:rsidR="00BC6C26" w:rsidRPr="00A76818">
        <w:rPr>
          <w:rFonts w:ascii="Calibri" w:hAnsi="Calibri" w:cs="Calibri"/>
          <w:color w:val="000000" w:themeColor="text1"/>
        </w:rPr>
        <w:t xml:space="preserve">. </w:t>
      </w:r>
    </w:p>
    <w:p w14:paraId="34076988" w14:textId="70C5D565" w:rsidR="00BC6C26" w:rsidRPr="00A76818" w:rsidRDefault="00BC6C26"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lastRenderedPageBreak/>
        <w:t xml:space="preserve">The certificate of completion must be maintained on record and be readily available for review. For rental units, documentation must be kept with the HQS or Habitability Standards Worksheet, as applicable, and maintained in the </w:t>
      </w:r>
      <w:r w:rsidR="00343CC4" w:rsidRPr="00A76818">
        <w:rPr>
          <w:rFonts w:ascii="Calibri" w:hAnsi="Calibri" w:cs="Calibri"/>
          <w:color w:val="000000" w:themeColor="text1"/>
        </w:rPr>
        <w:t>household</w:t>
      </w:r>
      <w:r w:rsidRPr="00A76818">
        <w:rPr>
          <w:rFonts w:ascii="Calibri" w:hAnsi="Calibri" w:cs="Calibri"/>
          <w:color w:val="000000" w:themeColor="text1"/>
        </w:rPr>
        <w:t xml:space="preserve"> file. </w:t>
      </w:r>
    </w:p>
    <w:p w14:paraId="1B684C2B" w14:textId="77777777" w:rsidR="00BC6C26" w:rsidRPr="00A76818" w:rsidRDefault="00BC6C26"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 xml:space="preserve">Exemptions to the Requirement </w:t>
      </w:r>
    </w:p>
    <w:p w14:paraId="0B3EC539" w14:textId="77777777" w:rsidR="00BC6C26" w:rsidRPr="00A76818" w:rsidRDefault="00BC6C26"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There are certain exemptions to the lead-based paint requirements in the following circumstances:</w:t>
      </w:r>
    </w:p>
    <w:p w14:paraId="0220C6A5" w14:textId="77777777" w:rsidR="00BC6C26" w:rsidRPr="00A76818" w:rsidRDefault="00BC6C26"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It is a residential property for which construction was completed on or after January 1, 1978. </w:t>
      </w:r>
    </w:p>
    <w:p w14:paraId="3E715E7D" w14:textId="77777777" w:rsidR="00BC6C26" w:rsidRPr="00A76818" w:rsidRDefault="00BC6C26"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It is a zero‐bedroom or SRO‐sized unit; or </w:t>
      </w:r>
    </w:p>
    <w:p w14:paraId="1E42C43F" w14:textId="77777777" w:rsidR="00BC6C26" w:rsidRPr="00A76818" w:rsidRDefault="00BC6C26"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It meets any of the other exemptions described in 24 CFR § 35.115(a). If any of the conditions outlined above are met, recipients need to document the condition to demonstrate that the unit is exempt from the lead-based paint requirements.</w:t>
      </w:r>
    </w:p>
    <w:p w14:paraId="026F5F69" w14:textId="77777777" w:rsidR="00BC6C26" w:rsidRPr="00A76818" w:rsidRDefault="00BC6C26" w:rsidP="000604EE">
      <w:pPr>
        <w:contextualSpacing/>
        <w:rPr>
          <w:rFonts w:ascii="Calibri" w:hAnsi="Calibri" w:cs="Calibri"/>
          <w:color w:val="000000" w:themeColor="text1"/>
        </w:rPr>
      </w:pPr>
    </w:p>
    <w:p w14:paraId="05ABED4E" w14:textId="337B5389" w:rsidR="00BC6C26" w:rsidRPr="0058586C" w:rsidRDefault="00BC6C26" w:rsidP="000604EE">
      <w:pPr>
        <w:pStyle w:val="Heading2"/>
        <w:numPr>
          <w:ilvl w:val="0"/>
          <w:numId w:val="1"/>
        </w:numPr>
        <w:spacing w:before="0" w:line="240" w:lineRule="auto"/>
        <w:contextualSpacing/>
        <w:rPr>
          <w:color w:val="0070C0"/>
        </w:rPr>
      </w:pPr>
      <w:bookmarkStart w:id="127" w:name="_Toc124255036"/>
      <w:r w:rsidRPr="0058586C">
        <w:rPr>
          <w:color w:val="0070C0"/>
        </w:rPr>
        <w:t>Standards for Termination of Assistance and Grievance Procedure</w:t>
      </w:r>
      <w:bookmarkEnd w:id="127"/>
      <w:r w:rsidRPr="0058586C">
        <w:rPr>
          <w:color w:val="0070C0"/>
        </w:rPr>
        <w:t xml:space="preserve"> </w:t>
      </w:r>
    </w:p>
    <w:p w14:paraId="2FBB789F" w14:textId="5492ABCF" w:rsidR="00BC6C26" w:rsidRPr="00A76818" w:rsidRDefault="00343CC4" w:rsidP="000604EE">
      <w:pPr>
        <w:pStyle w:val="ListParagraph"/>
        <w:numPr>
          <w:ilvl w:val="1"/>
          <w:numId w:val="1"/>
        </w:numPr>
        <w:rPr>
          <w:rFonts w:ascii="Calibri" w:hAnsi="Calibri"/>
          <w:color w:val="000000" w:themeColor="text1"/>
        </w:rPr>
      </w:pPr>
      <w:r w:rsidRPr="00A76818">
        <w:rPr>
          <w:rFonts w:ascii="Calibri" w:hAnsi="Calibri"/>
          <w:color w:val="000000" w:themeColor="text1"/>
        </w:rPr>
        <w:t>Service providers</w:t>
      </w:r>
      <w:r w:rsidR="00BC6C26" w:rsidRPr="00A76818">
        <w:rPr>
          <w:rFonts w:ascii="Calibri" w:hAnsi="Calibri"/>
          <w:color w:val="000000" w:themeColor="text1"/>
        </w:rPr>
        <w:t xml:space="preserve"> must have written termination, denial, and grievance policies and/or procedures. The policies and/or procedures should be readily available to </w:t>
      </w:r>
      <w:r w:rsidRPr="00A76818">
        <w:rPr>
          <w:rFonts w:ascii="Calibri" w:hAnsi="Calibri"/>
          <w:color w:val="000000" w:themeColor="text1"/>
        </w:rPr>
        <w:t xml:space="preserve">all households, both applicants and active </w:t>
      </w:r>
      <w:r w:rsidR="0013511D" w:rsidRPr="00A76818">
        <w:rPr>
          <w:rFonts w:ascii="Calibri" w:hAnsi="Calibri"/>
          <w:color w:val="000000" w:themeColor="text1"/>
        </w:rPr>
        <w:t>household</w:t>
      </w:r>
      <w:r w:rsidRPr="00A76818">
        <w:rPr>
          <w:rFonts w:ascii="Calibri" w:hAnsi="Calibri"/>
          <w:color w:val="000000" w:themeColor="text1"/>
        </w:rPr>
        <w:t>s</w:t>
      </w:r>
      <w:r w:rsidR="00BC6C26" w:rsidRPr="00A76818">
        <w:rPr>
          <w:rFonts w:ascii="Calibri" w:hAnsi="Calibri"/>
          <w:color w:val="000000" w:themeColor="text1"/>
        </w:rPr>
        <w:t xml:space="preserve">. </w:t>
      </w:r>
      <w:r w:rsidR="00C777B8" w:rsidRPr="00A76818">
        <w:rPr>
          <w:rFonts w:ascii="Calibri" w:hAnsi="Calibri"/>
          <w:color w:val="000000" w:themeColor="text1"/>
        </w:rPr>
        <w:t>Apart from</w:t>
      </w:r>
      <w:r w:rsidR="00BC6C26" w:rsidRPr="00A76818">
        <w:rPr>
          <w:rFonts w:ascii="Calibri" w:hAnsi="Calibri"/>
          <w:color w:val="000000" w:themeColor="text1"/>
        </w:rPr>
        <w:t xml:space="preserve"> </w:t>
      </w:r>
      <w:r w:rsidRPr="00A76818">
        <w:rPr>
          <w:rFonts w:ascii="Calibri" w:hAnsi="Calibri"/>
          <w:color w:val="000000" w:themeColor="text1"/>
        </w:rPr>
        <w:t>high-volume</w:t>
      </w:r>
      <w:r w:rsidR="00BC6C26" w:rsidRPr="00A76818">
        <w:rPr>
          <w:rFonts w:ascii="Calibri" w:hAnsi="Calibri"/>
          <w:color w:val="000000" w:themeColor="text1"/>
        </w:rPr>
        <w:t xml:space="preserve"> shelters where it is acceptable to have policies posted in a public place, </w:t>
      </w:r>
      <w:r w:rsidRPr="00A76818">
        <w:rPr>
          <w:rFonts w:ascii="Calibri" w:hAnsi="Calibri"/>
          <w:color w:val="000000" w:themeColor="text1"/>
        </w:rPr>
        <w:t>households</w:t>
      </w:r>
      <w:r w:rsidR="00BC6C26" w:rsidRPr="00A76818">
        <w:rPr>
          <w:rFonts w:ascii="Calibri" w:hAnsi="Calibri"/>
          <w:color w:val="000000" w:themeColor="text1"/>
        </w:rPr>
        <w:t xml:space="preserve"> must receive written information about program policies. It is important to effectively communicate these policies and/or procedures to ensure that they are fully understood.</w:t>
      </w:r>
    </w:p>
    <w:p w14:paraId="460F2778" w14:textId="620B329F" w:rsidR="00BC6C26" w:rsidRPr="00A76818" w:rsidRDefault="00BC6C26" w:rsidP="000604EE">
      <w:pPr>
        <w:pStyle w:val="ListParagraph"/>
        <w:numPr>
          <w:ilvl w:val="2"/>
          <w:numId w:val="1"/>
        </w:numPr>
        <w:rPr>
          <w:rFonts w:ascii="Calibri" w:hAnsi="Calibri"/>
          <w:color w:val="000000" w:themeColor="text1"/>
        </w:rPr>
      </w:pPr>
      <w:r w:rsidRPr="00A76818">
        <w:rPr>
          <w:rFonts w:ascii="Calibri" w:hAnsi="Calibri"/>
          <w:color w:val="000000" w:themeColor="text1"/>
        </w:rPr>
        <w:t xml:space="preserve">Denial and Grievance: Causes of denial of assistance include, but are not limited to, the </w:t>
      </w:r>
      <w:r w:rsidR="00343CC4" w:rsidRPr="00A76818">
        <w:rPr>
          <w:rFonts w:ascii="Calibri" w:hAnsi="Calibri"/>
          <w:color w:val="000000" w:themeColor="text1"/>
        </w:rPr>
        <w:t>household</w:t>
      </w:r>
      <w:r w:rsidRPr="00A76818">
        <w:rPr>
          <w:rFonts w:ascii="Calibri" w:hAnsi="Calibri"/>
          <w:color w:val="000000" w:themeColor="text1"/>
        </w:rPr>
        <w:t>’s ineligibility or failure to provide verifiable evidence of eligibility, etc. Established procedures should describe:</w:t>
      </w:r>
    </w:p>
    <w:p w14:paraId="4E6A0EA2" w14:textId="48884929" w:rsidR="00BC6C26" w:rsidRPr="00A76818" w:rsidRDefault="00BC6C26" w:rsidP="000604EE">
      <w:pPr>
        <w:pStyle w:val="ListParagraph"/>
        <w:numPr>
          <w:ilvl w:val="3"/>
          <w:numId w:val="1"/>
        </w:numPr>
        <w:rPr>
          <w:rFonts w:ascii="Calibri" w:hAnsi="Calibri"/>
          <w:color w:val="000000" w:themeColor="text1"/>
        </w:rPr>
      </w:pPr>
      <w:r w:rsidRPr="00A76818">
        <w:rPr>
          <w:rFonts w:ascii="Calibri" w:hAnsi="Calibri"/>
          <w:color w:val="000000" w:themeColor="text1"/>
        </w:rPr>
        <w:t xml:space="preserve">Circumstances in which </w:t>
      </w:r>
      <w:r w:rsidR="00343CC4" w:rsidRPr="00A76818">
        <w:rPr>
          <w:rFonts w:ascii="Calibri" w:hAnsi="Calibri"/>
          <w:color w:val="000000" w:themeColor="text1"/>
        </w:rPr>
        <w:t>households</w:t>
      </w:r>
      <w:r w:rsidRPr="00A76818">
        <w:rPr>
          <w:rFonts w:ascii="Calibri" w:hAnsi="Calibri"/>
          <w:color w:val="000000" w:themeColor="text1"/>
        </w:rPr>
        <w:t xml:space="preserve"> may not qualify or would be denied; </w:t>
      </w:r>
    </w:p>
    <w:p w14:paraId="55C02B86" w14:textId="77777777" w:rsidR="00BC6C26" w:rsidRPr="00A76818" w:rsidRDefault="00BC6C26" w:rsidP="000604EE">
      <w:pPr>
        <w:pStyle w:val="ListParagraph"/>
        <w:numPr>
          <w:ilvl w:val="3"/>
          <w:numId w:val="1"/>
        </w:numPr>
        <w:rPr>
          <w:rFonts w:ascii="Calibri" w:hAnsi="Calibri"/>
          <w:color w:val="000000" w:themeColor="text1"/>
        </w:rPr>
      </w:pPr>
      <w:r w:rsidRPr="00A76818">
        <w:rPr>
          <w:rFonts w:ascii="Calibri" w:hAnsi="Calibri"/>
          <w:color w:val="000000" w:themeColor="text1"/>
        </w:rPr>
        <w:t>Notification of denial; and</w:t>
      </w:r>
    </w:p>
    <w:p w14:paraId="4852A93E" w14:textId="45619812" w:rsidR="00BC6C26" w:rsidRPr="00A76818" w:rsidRDefault="00BC6C26" w:rsidP="000604EE">
      <w:pPr>
        <w:pStyle w:val="ListParagraph"/>
        <w:numPr>
          <w:ilvl w:val="3"/>
          <w:numId w:val="1"/>
        </w:numPr>
        <w:rPr>
          <w:rFonts w:ascii="Calibri" w:hAnsi="Calibri"/>
          <w:color w:val="000000" w:themeColor="text1"/>
        </w:rPr>
      </w:pPr>
      <w:r w:rsidRPr="00A76818">
        <w:rPr>
          <w:rFonts w:ascii="Calibri" w:hAnsi="Calibri"/>
          <w:color w:val="000000" w:themeColor="text1"/>
        </w:rPr>
        <w:t xml:space="preserve">A </w:t>
      </w:r>
      <w:r w:rsidR="00343CC4" w:rsidRPr="00A76818">
        <w:rPr>
          <w:rFonts w:ascii="Calibri" w:hAnsi="Calibri"/>
          <w:color w:val="000000" w:themeColor="text1"/>
        </w:rPr>
        <w:t>household</w:t>
      </w:r>
      <w:r w:rsidRPr="00A76818">
        <w:rPr>
          <w:rFonts w:ascii="Calibri" w:hAnsi="Calibri"/>
          <w:color w:val="000000" w:themeColor="text1"/>
        </w:rPr>
        <w:t xml:space="preserve">’s right to review a </w:t>
      </w:r>
      <w:r w:rsidR="00343CC4" w:rsidRPr="00A76818">
        <w:rPr>
          <w:rFonts w:ascii="Calibri" w:hAnsi="Calibri"/>
          <w:color w:val="000000" w:themeColor="text1"/>
        </w:rPr>
        <w:t>service provider</w:t>
      </w:r>
      <w:r w:rsidRPr="00A76818">
        <w:rPr>
          <w:rFonts w:ascii="Calibri" w:hAnsi="Calibri"/>
          <w:color w:val="000000" w:themeColor="text1"/>
        </w:rPr>
        <w:t>’s decision.</w:t>
      </w:r>
    </w:p>
    <w:p w14:paraId="6ED3B33F" w14:textId="77777777" w:rsidR="00343CC4" w:rsidRPr="00A76818" w:rsidRDefault="00BC6C26" w:rsidP="000604EE">
      <w:pPr>
        <w:pStyle w:val="ListParagraph"/>
        <w:numPr>
          <w:ilvl w:val="2"/>
          <w:numId w:val="1"/>
        </w:numPr>
        <w:rPr>
          <w:rFonts w:ascii="Calibri" w:hAnsi="Calibri"/>
          <w:color w:val="000000" w:themeColor="text1"/>
        </w:rPr>
      </w:pPr>
      <w:r w:rsidRPr="00A76818">
        <w:rPr>
          <w:rFonts w:ascii="Calibri" w:hAnsi="Calibri"/>
          <w:color w:val="000000" w:themeColor="text1"/>
        </w:rPr>
        <w:t xml:space="preserve">Termination of Participation and Grievance: Involuntary termination from any project funded under the HEARTH Act places the </w:t>
      </w:r>
      <w:r w:rsidR="00343CC4" w:rsidRPr="00A76818">
        <w:rPr>
          <w:rFonts w:ascii="Calibri" w:hAnsi="Calibri"/>
          <w:color w:val="000000" w:themeColor="text1"/>
        </w:rPr>
        <w:t>household</w:t>
      </w:r>
      <w:r w:rsidRPr="00A76818">
        <w:rPr>
          <w:rFonts w:ascii="Calibri" w:hAnsi="Calibri"/>
          <w:color w:val="000000" w:themeColor="text1"/>
        </w:rPr>
        <w:t xml:space="preserve"> at great risk because </w:t>
      </w:r>
      <w:r w:rsidR="00343CC4" w:rsidRPr="00A76818">
        <w:rPr>
          <w:rFonts w:ascii="Calibri" w:hAnsi="Calibri"/>
          <w:color w:val="000000" w:themeColor="text1"/>
        </w:rPr>
        <w:t xml:space="preserve">he/she/they </w:t>
      </w:r>
      <w:r w:rsidRPr="00A76818">
        <w:rPr>
          <w:rFonts w:ascii="Calibri" w:hAnsi="Calibri"/>
          <w:color w:val="000000" w:themeColor="text1"/>
        </w:rPr>
        <w:t xml:space="preserve">will likely exit to a place that is less safe than the project in which </w:t>
      </w:r>
      <w:r w:rsidR="00343CC4" w:rsidRPr="00A76818">
        <w:rPr>
          <w:rFonts w:ascii="Calibri" w:hAnsi="Calibri"/>
          <w:color w:val="000000" w:themeColor="text1"/>
        </w:rPr>
        <w:t>he/she/they are</w:t>
      </w:r>
      <w:r w:rsidRPr="00A76818">
        <w:rPr>
          <w:rFonts w:ascii="Calibri" w:hAnsi="Calibri"/>
          <w:color w:val="000000" w:themeColor="text1"/>
        </w:rPr>
        <w:t xml:space="preserve"> currently participating. </w:t>
      </w:r>
    </w:p>
    <w:p w14:paraId="2020015A" w14:textId="77777777" w:rsidR="00343CC4" w:rsidRPr="00A76818" w:rsidRDefault="00BC6C26" w:rsidP="000604EE">
      <w:pPr>
        <w:pStyle w:val="ListParagraph"/>
        <w:numPr>
          <w:ilvl w:val="3"/>
          <w:numId w:val="1"/>
        </w:numPr>
        <w:rPr>
          <w:rFonts w:ascii="Calibri" w:hAnsi="Calibri"/>
          <w:color w:val="000000" w:themeColor="text1"/>
        </w:rPr>
      </w:pPr>
      <w:r w:rsidRPr="00A76818">
        <w:rPr>
          <w:rFonts w:ascii="Calibri" w:hAnsi="Calibri"/>
          <w:color w:val="000000" w:themeColor="text1"/>
        </w:rPr>
        <w:t xml:space="preserve">Termination is a last option. </w:t>
      </w:r>
    </w:p>
    <w:p w14:paraId="26338924" w14:textId="253BA2CC" w:rsidR="00BC6C26" w:rsidRPr="00A76818" w:rsidRDefault="00343CC4" w:rsidP="000604EE">
      <w:pPr>
        <w:pStyle w:val="ListParagraph"/>
        <w:numPr>
          <w:ilvl w:val="3"/>
          <w:numId w:val="1"/>
        </w:numPr>
        <w:rPr>
          <w:rFonts w:ascii="Calibri" w:hAnsi="Calibri"/>
          <w:color w:val="000000" w:themeColor="text1"/>
        </w:rPr>
      </w:pPr>
      <w:r w:rsidRPr="00A76818">
        <w:rPr>
          <w:rFonts w:ascii="Calibri" w:hAnsi="Calibri"/>
          <w:color w:val="000000" w:themeColor="text1"/>
        </w:rPr>
        <w:t>Service providers</w:t>
      </w:r>
      <w:r w:rsidR="00BC6C26" w:rsidRPr="00A76818">
        <w:rPr>
          <w:rFonts w:ascii="Calibri" w:hAnsi="Calibri"/>
          <w:color w:val="000000" w:themeColor="text1"/>
        </w:rPr>
        <w:t xml:space="preserve"> are encouraged to limit rules of participation to only that which constitutes immediate danger. For example, in a communal living project, it would not be appropriate to terminate a </w:t>
      </w:r>
      <w:r w:rsidRPr="00A76818">
        <w:rPr>
          <w:rFonts w:ascii="Calibri" w:hAnsi="Calibri"/>
          <w:color w:val="000000" w:themeColor="text1"/>
        </w:rPr>
        <w:t>household</w:t>
      </w:r>
      <w:r w:rsidR="00BC6C26" w:rsidRPr="00A76818">
        <w:rPr>
          <w:rFonts w:ascii="Calibri" w:hAnsi="Calibri"/>
          <w:color w:val="000000" w:themeColor="text1"/>
        </w:rPr>
        <w:t xml:space="preserve">’s housing because </w:t>
      </w:r>
      <w:r w:rsidRPr="00A76818">
        <w:rPr>
          <w:rFonts w:ascii="Calibri" w:hAnsi="Calibri"/>
          <w:color w:val="000000" w:themeColor="text1"/>
        </w:rPr>
        <w:t xml:space="preserve">he/she/they </w:t>
      </w:r>
      <w:r w:rsidR="00BC6C26" w:rsidRPr="00A76818">
        <w:rPr>
          <w:rFonts w:ascii="Calibri" w:hAnsi="Calibri"/>
          <w:color w:val="000000" w:themeColor="text1"/>
        </w:rPr>
        <w:t xml:space="preserve">did not complete </w:t>
      </w:r>
      <w:r w:rsidRPr="00A76818">
        <w:rPr>
          <w:rFonts w:ascii="Calibri" w:hAnsi="Calibri"/>
          <w:color w:val="000000" w:themeColor="text1"/>
        </w:rPr>
        <w:t>his/her/their</w:t>
      </w:r>
      <w:r w:rsidR="00BC6C26" w:rsidRPr="00A76818">
        <w:rPr>
          <w:rFonts w:ascii="Calibri" w:hAnsi="Calibri"/>
          <w:color w:val="000000" w:themeColor="text1"/>
        </w:rPr>
        <w:t xml:space="preserve"> chores. </w:t>
      </w:r>
      <w:r w:rsidRPr="00A76818">
        <w:rPr>
          <w:rFonts w:ascii="Calibri" w:hAnsi="Calibri"/>
          <w:color w:val="000000" w:themeColor="text1"/>
        </w:rPr>
        <w:t>Service providers</w:t>
      </w:r>
      <w:r w:rsidR="00BC6C26" w:rsidRPr="00A76818">
        <w:rPr>
          <w:rFonts w:ascii="Calibri" w:hAnsi="Calibri"/>
          <w:color w:val="000000" w:themeColor="text1"/>
        </w:rPr>
        <w:t xml:space="preserve"> are encouraged to find other strategies to increase </w:t>
      </w:r>
      <w:r w:rsidRPr="00A76818">
        <w:rPr>
          <w:rFonts w:ascii="Calibri" w:hAnsi="Calibri"/>
          <w:color w:val="000000" w:themeColor="text1"/>
        </w:rPr>
        <w:t>households</w:t>
      </w:r>
      <w:r w:rsidR="00BC6C26" w:rsidRPr="00A76818">
        <w:rPr>
          <w:rFonts w:ascii="Calibri" w:hAnsi="Calibri"/>
          <w:color w:val="000000" w:themeColor="text1"/>
        </w:rPr>
        <w:t xml:space="preserve">’ contributions to their community by encouraging engagement rather than threatening loss of housing. </w:t>
      </w:r>
    </w:p>
    <w:p w14:paraId="2220E6D9" w14:textId="4317D068" w:rsidR="00BC6C26" w:rsidRPr="00A76818" w:rsidRDefault="00C777B8" w:rsidP="000604EE">
      <w:pPr>
        <w:pStyle w:val="ListParagraph"/>
        <w:numPr>
          <w:ilvl w:val="3"/>
          <w:numId w:val="1"/>
        </w:numPr>
        <w:rPr>
          <w:rFonts w:ascii="Calibri" w:hAnsi="Calibri"/>
          <w:color w:val="000000" w:themeColor="text1"/>
        </w:rPr>
      </w:pPr>
      <w:r>
        <w:rPr>
          <w:rFonts w:ascii="Calibri" w:hAnsi="Calibri"/>
          <w:color w:val="000000" w:themeColor="text1"/>
        </w:rPr>
        <w:t>However</w:t>
      </w:r>
      <w:r w:rsidRPr="00A76818">
        <w:rPr>
          <w:rFonts w:ascii="Calibri" w:hAnsi="Calibri"/>
          <w:color w:val="000000" w:themeColor="text1"/>
        </w:rPr>
        <w:t xml:space="preserve">, there may be instances where termination cannot be avoided. </w:t>
      </w:r>
      <w:r w:rsidR="00BC6C26" w:rsidRPr="00A76818">
        <w:rPr>
          <w:rFonts w:ascii="Calibri" w:hAnsi="Calibri"/>
          <w:color w:val="000000" w:themeColor="text1"/>
        </w:rPr>
        <w:t>The written grievance procedure must include:</w:t>
      </w:r>
    </w:p>
    <w:p w14:paraId="6344D238" w14:textId="1FDC750C" w:rsidR="00BC6C26" w:rsidRPr="00A76818" w:rsidRDefault="00BC6C26"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 xml:space="preserve">Written notice to the </w:t>
      </w:r>
      <w:r w:rsidR="0013511D" w:rsidRPr="00A76818">
        <w:rPr>
          <w:rFonts w:ascii="Calibri" w:hAnsi="Calibri" w:cs="Calibri"/>
          <w:color w:val="000000" w:themeColor="text1"/>
        </w:rPr>
        <w:t>household</w:t>
      </w:r>
      <w:r w:rsidRPr="00A76818">
        <w:rPr>
          <w:rFonts w:ascii="Calibri" w:hAnsi="Calibri" w:cs="Calibri"/>
          <w:color w:val="000000" w:themeColor="text1"/>
        </w:rPr>
        <w:t xml:space="preserve"> containing a clear statement of the reason(s) for termination;</w:t>
      </w:r>
    </w:p>
    <w:p w14:paraId="6241A1CE" w14:textId="2B337BD8" w:rsidR="00BC6C26" w:rsidRPr="00A76818" w:rsidRDefault="00BC6C26"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lastRenderedPageBreak/>
        <w:t xml:space="preserve">A review of the decision, in which the </w:t>
      </w:r>
      <w:r w:rsidR="00343CC4" w:rsidRPr="00A76818">
        <w:rPr>
          <w:rFonts w:ascii="Calibri" w:hAnsi="Calibri" w:cs="Calibri"/>
          <w:color w:val="000000" w:themeColor="text1"/>
        </w:rPr>
        <w:t xml:space="preserve">household </w:t>
      </w:r>
      <w:r w:rsidRPr="00A76818">
        <w:rPr>
          <w:rFonts w:ascii="Calibri" w:hAnsi="Calibri" w:cs="Calibri"/>
          <w:color w:val="000000" w:themeColor="text1"/>
        </w:rPr>
        <w:t xml:space="preserve">is given the opportunity to present written or oral objections before a person other than the person (or a subordinate of that person) who made or approved the termination decision. This may include the </w:t>
      </w:r>
      <w:r w:rsidR="0013511D" w:rsidRPr="00A76818">
        <w:rPr>
          <w:rFonts w:ascii="Calibri" w:hAnsi="Calibri" w:cs="Calibri"/>
          <w:color w:val="000000" w:themeColor="text1"/>
        </w:rPr>
        <w:t>household</w:t>
      </w:r>
      <w:r w:rsidRPr="00A76818">
        <w:rPr>
          <w:rFonts w:ascii="Calibri" w:hAnsi="Calibri" w:cs="Calibri"/>
          <w:color w:val="000000" w:themeColor="text1"/>
        </w:rPr>
        <w:t>’s right to question or confront staff involved; and</w:t>
      </w:r>
    </w:p>
    <w:p w14:paraId="0AE95885" w14:textId="77777777" w:rsidR="00BC6C26" w:rsidRPr="00A76818" w:rsidRDefault="00BC6C26" w:rsidP="000604EE">
      <w:pPr>
        <w:pStyle w:val="ListParagraph"/>
        <w:numPr>
          <w:ilvl w:val="4"/>
          <w:numId w:val="1"/>
        </w:numPr>
        <w:rPr>
          <w:rFonts w:ascii="Calibri" w:hAnsi="Calibri" w:cs="Calibri"/>
          <w:color w:val="000000" w:themeColor="text1"/>
        </w:rPr>
      </w:pPr>
      <w:r w:rsidRPr="00A76818">
        <w:rPr>
          <w:rFonts w:ascii="Calibri" w:hAnsi="Calibri" w:cs="Calibri"/>
          <w:color w:val="000000" w:themeColor="text1"/>
        </w:rPr>
        <w:t>Prompt written notice of the final decision.</w:t>
      </w:r>
    </w:p>
    <w:p w14:paraId="34F5A362" w14:textId="73683601" w:rsidR="00BC6C26" w:rsidRDefault="00BC6C26" w:rsidP="000604EE">
      <w:pPr>
        <w:pStyle w:val="ListParagraph"/>
        <w:numPr>
          <w:ilvl w:val="3"/>
          <w:numId w:val="1"/>
        </w:numPr>
        <w:rPr>
          <w:rFonts w:ascii="Calibri" w:hAnsi="Calibri"/>
          <w:color w:val="000000" w:themeColor="text1"/>
        </w:rPr>
      </w:pPr>
      <w:r w:rsidRPr="00A76818">
        <w:rPr>
          <w:rFonts w:ascii="Calibri" w:hAnsi="Calibri"/>
          <w:color w:val="000000" w:themeColor="text1"/>
        </w:rPr>
        <w:t xml:space="preserve">For projects where </w:t>
      </w:r>
      <w:r w:rsidR="00343CC4" w:rsidRPr="00A76818">
        <w:rPr>
          <w:rFonts w:ascii="Calibri" w:hAnsi="Calibri"/>
          <w:color w:val="000000" w:themeColor="text1"/>
        </w:rPr>
        <w:t>households</w:t>
      </w:r>
      <w:r w:rsidRPr="00A76818">
        <w:rPr>
          <w:rFonts w:ascii="Calibri" w:hAnsi="Calibri"/>
          <w:color w:val="000000" w:themeColor="text1"/>
        </w:rPr>
        <w:t xml:space="preserve"> are required to request a review of the termination decision, </w:t>
      </w:r>
      <w:r w:rsidR="00343CC4" w:rsidRPr="00A76818">
        <w:rPr>
          <w:rFonts w:ascii="Calibri" w:hAnsi="Calibri"/>
          <w:color w:val="000000" w:themeColor="text1"/>
        </w:rPr>
        <w:t>households</w:t>
      </w:r>
      <w:r w:rsidRPr="00A76818">
        <w:rPr>
          <w:rFonts w:ascii="Calibri" w:hAnsi="Calibri"/>
          <w:color w:val="000000" w:themeColor="text1"/>
        </w:rPr>
        <w:t xml:space="preserve"> must be given an adequate amount of time to submit their request. The review must be held at a mutually agreeable time.</w:t>
      </w:r>
    </w:p>
    <w:p w14:paraId="7FECAE75" w14:textId="35EDC680" w:rsidR="003D267D" w:rsidRDefault="003D267D" w:rsidP="003D267D">
      <w:pPr>
        <w:pStyle w:val="ListParagraph"/>
        <w:ind w:left="2160"/>
        <w:rPr>
          <w:rFonts w:ascii="Calibri" w:hAnsi="Calibri"/>
          <w:color w:val="000000" w:themeColor="text1"/>
        </w:rPr>
      </w:pPr>
    </w:p>
    <w:p w14:paraId="15DF1E45" w14:textId="7E05C799" w:rsidR="00BC6C26" w:rsidRPr="0058586C" w:rsidRDefault="00BC6C26" w:rsidP="000604EE">
      <w:pPr>
        <w:pStyle w:val="Heading2"/>
        <w:numPr>
          <w:ilvl w:val="0"/>
          <w:numId w:val="1"/>
        </w:numPr>
        <w:spacing w:before="0" w:line="240" w:lineRule="auto"/>
        <w:contextualSpacing/>
        <w:rPr>
          <w:color w:val="0070C0"/>
        </w:rPr>
      </w:pPr>
      <w:bookmarkStart w:id="128" w:name="_Toc124255037"/>
      <w:r w:rsidRPr="0058586C">
        <w:rPr>
          <w:color w:val="0070C0"/>
        </w:rPr>
        <w:t>Privacy and Safety for Survivors of Domestic Violence</w:t>
      </w:r>
      <w:bookmarkEnd w:id="128"/>
    </w:p>
    <w:p w14:paraId="2B98EE85" w14:textId="77777777" w:rsidR="00BC6C26" w:rsidRPr="00A76818" w:rsidRDefault="00BC6C26" w:rsidP="000604EE">
      <w:pPr>
        <w:pStyle w:val="ListParagraph"/>
        <w:numPr>
          <w:ilvl w:val="1"/>
          <w:numId w:val="1"/>
        </w:numPr>
        <w:rPr>
          <w:rFonts w:ascii="Calibri" w:hAnsi="Calibri"/>
          <w:color w:val="000000" w:themeColor="text1"/>
        </w:rPr>
      </w:pPr>
      <w:r w:rsidRPr="00A76818">
        <w:rPr>
          <w:rFonts w:ascii="Calibri" w:hAnsi="Calibri"/>
          <w:color w:val="000000" w:themeColor="text1"/>
        </w:rPr>
        <w:t>Victims of Domestic Violence, Dating Violence, Sexual Assault, and Stalking</w:t>
      </w:r>
    </w:p>
    <w:p w14:paraId="250339A9" w14:textId="77777777" w:rsidR="00BC6C26" w:rsidRPr="00A76818" w:rsidRDefault="00BC6C26" w:rsidP="000604EE">
      <w:pPr>
        <w:pStyle w:val="ListParagraph"/>
        <w:numPr>
          <w:ilvl w:val="2"/>
          <w:numId w:val="1"/>
        </w:numPr>
        <w:rPr>
          <w:rFonts w:ascii="Calibri" w:hAnsi="Calibri"/>
          <w:color w:val="000000" w:themeColor="text1"/>
        </w:rPr>
      </w:pPr>
      <w:r w:rsidRPr="00A76818">
        <w:rPr>
          <w:rFonts w:ascii="Calibri" w:hAnsi="Calibri"/>
          <w:color w:val="000000" w:themeColor="text1"/>
        </w:rPr>
        <w:t xml:space="preserve">The 2013 reauthorization of the Violence Against Women Act (VAWA) and HUD’s final rule (81 FR 80798), which implements the requirements of VAWA, provide protections to victims of domestic violence, dating violence, sexual assault, and stalking under programs funded by HUD, including the CoC Program, ESG Program, and HOME Investment Partnerships (HOME) Program. </w:t>
      </w:r>
    </w:p>
    <w:p w14:paraId="07C7DDF7" w14:textId="3BDDA5D9" w:rsidR="00BC6C26" w:rsidRPr="00A76818" w:rsidRDefault="00343CC4" w:rsidP="000604EE">
      <w:pPr>
        <w:pStyle w:val="ListParagraph"/>
        <w:numPr>
          <w:ilvl w:val="2"/>
          <w:numId w:val="1"/>
        </w:numPr>
        <w:rPr>
          <w:rFonts w:ascii="Calibri" w:hAnsi="Calibri"/>
          <w:color w:val="000000" w:themeColor="text1"/>
        </w:rPr>
      </w:pPr>
      <w:r w:rsidRPr="00A76818">
        <w:rPr>
          <w:rFonts w:ascii="Calibri" w:hAnsi="Calibri"/>
          <w:color w:val="000000" w:themeColor="text1"/>
        </w:rPr>
        <w:t>Service providers</w:t>
      </w:r>
      <w:r w:rsidR="00BC6C26" w:rsidRPr="00A76818">
        <w:rPr>
          <w:rFonts w:ascii="Calibri" w:hAnsi="Calibri"/>
          <w:color w:val="000000" w:themeColor="text1"/>
        </w:rPr>
        <w:t xml:space="preserve"> are required to comply with the VAWA final rule and the locally adopted VAWA Written Standards, including </w:t>
      </w:r>
      <w:r w:rsidR="00C231A2">
        <w:rPr>
          <w:rFonts w:ascii="Calibri" w:hAnsi="Calibri"/>
          <w:color w:val="000000" w:themeColor="text1"/>
        </w:rPr>
        <w:t xml:space="preserve">the </w:t>
      </w:r>
      <w:r w:rsidR="00BC6C26" w:rsidRPr="00A76818">
        <w:rPr>
          <w:rFonts w:ascii="Calibri" w:hAnsi="Calibri"/>
          <w:color w:val="000000" w:themeColor="text1"/>
        </w:rPr>
        <w:t xml:space="preserve">Emergency Transfer Plan, incorporated herein by reference. </w:t>
      </w:r>
    </w:p>
    <w:p w14:paraId="6CE1E637" w14:textId="77777777" w:rsidR="00BC6C26" w:rsidRPr="00A76818" w:rsidRDefault="00BC6C26" w:rsidP="000604EE">
      <w:pPr>
        <w:contextualSpacing/>
        <w:rPr>
          <w:rFonts w:ascii="Calibri" w:hAnsi="Calibri" w:cs="Calibri"/>
          <w:color w:val="000000" w:themeColor="text1"/>
          <w:highlight w:val="yellow"/>
        </w:rPr>
      </w:pPr>
    </w:p>
    <w:p w14:paraId="3149AB37" w14:textId="3C4BB93B" w:rsidR="00BC6C26" w:rsidRPr="0058586C" w:rsidRDefault="00BC6C26" w:rsidP="000604EE">
      <w:pPr>
        <w:pStyle w:val="Heading2"/>
        <w:numPr>
          <w:ilvl w:val="0"/>
          <w:numId w:val="1"/>
        </w:numPr>
        <w:spacing w:before="0" w:line="240" w:lineRule="auto"/>
        <w:contextualSpacing/>
        <w:rPr>
          <w:color w:val="0070C0"/>
        </w:rPr>
      </w:pPr>
      <w:bookmarkStart w:id="129" w:name="_Toc124255038"/>
      <w:r w:rsidRPr="0058586C">
        <w:rPr>
          <w:color w:val="0070C0"/>
        </w:rPr>
        <w:t>Housing First Commitment</w:t>
      </w:r>
      <w:bookmarkEnd w:id="129"/>
    </w:p>
    <w:p w14:paraId="1AED5E39" w14:textId="77777777" w:rsidR="00F243EE" w:rsidRPr="00A76818" w:rsidRDefault="00BC6C26" w:rsidP="000604EE">
      <w:pPr>
        <w:pStyle w:val="ListParagraph"/>
        <w:numPr>
          <w:ilvl w:val="1"/>
          <w:numId w:val="1"/>
        </w:numPr>
        <w:rPr>
          <w:rFonts w:ascii="Calibri" w:hAnsi="Calibri"/>
          <w:color w:val="000000" w:themeColor="text1"/>
        </w:rPr>
      </w:pPr>
      <w:r w:rsidRPr="00A76818">
        <w:rPr>
          <w:rFonts w:ascii="Calibri" w:hAnsi="Calibri"/>
          <w:color w:val="000000" w:themeColor="text1"/>
        </w:rPr>
        <w:t>Purpose</w:t>
      </w:r>
    </w:p>
    <w:p w14:paraId="0B3F896F" w14:textId="40F1E510" w:rsidR="007F0390" w:rsidRPr="00A76818" w:rsidRDefault="00C51060"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 xml:space="preserve">Housing First means the evidence-based model that uses housing as a tool, rather than a reward, for recovery and that centers on providing or connecting homeless </w:t>
      </w:r>
      <w:r w:rsidR="007F0390" w:rsidRPr="00A76818">
        <w:rPr>
          <w:rFonts w:ascii="Calibri" w:hAnsi="Calibri" w:cs="Calibri"/>
          <w:color w:val="000000" w:themeColor="text1"/>
        </w:rPr>
        <w:t>households</w:t>
      </w:r>
      <w:r w:rsidRPr="00A76818">
        <w:rPr>
          <w:rFonts w:ascii="Calibri" w:hAnsi="Calibri" w:cs="Calibri"/>
          <w:color w:val="000000" w:themeColor="text1"/>
        </w:rPr>
        <w:t xml:space="preserve"> to permanent housing as quickly as possible. </w:t>
      </w:r>
    </w:p>
    <w:p w14:paraId="7F8C5D25" w14:textId="6A494A2B" w:rsidR="007F0390" w:rsidRPr="00A76818" w:rsidRDefault="007F0390"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 xml:space="preserve">Service providers in the Central Sierra Continuum of Care (CSCoC) have adopted the Housing First model across diverse program formats including permanent supportive housing, rapid re-housing, and </w:t>
      </w:r>
      <w:r w:rsidR="00F31FB5" w:rsidRPr="00A76818">
        <w:rPr>
          <w:rFonts w:ascii="Calibri" w:hAnsi="Calibri" w:cs="Calibri"/>
          <w:color w:val="000000" w:themeColor="text1"/>
        </w:rPr>
        <w:t>homelessness prevention efforts</w:t>
      </w:r>
      <w:r w:rsidRPr="00A76818">
        <w:rPr>
          <w:rFonts w:ascii="Calibri" w:hAnsi="Calibri" w:cs="Calibri"/>
          <w:color w:val="000000" w:themeColor="text1"/>
        </w:rPr>
        <w:t>.</w:t>
      </w:r>
    </w:p>
    <w:p w14:paraId="62DB432E" w14:textId="1533CEAC" w:rsidR="00AB422A" w:rsidRPr="00A76818" w:rsidRDefault="00BC6C26"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 xml:space="preserve">This approach has the benefit of being consistent with what most </w:t>
      </w:r>
      <w:r w:rsidR="007F0390" w:rsidRPr="00A76818">
        <w:rPr>
          <w:rFonts w:ascii="Calibri" w:hAnsi="Calibri" w:cs="Calibri"/>
          <w:color w:val="000000" w:themeColor="text1"/>
        </w:rPr>
        <w:t>households experiencing homelessness</w:t>
      </w:r>
      <w:r w:rsidRPr="00A76818">
        <w:rPr>
          <w:rFonts w:ascii="Calibri" w:hAnsi="Calibri" w:cs="Calibri"/>
          <w:color w:val="000000" w:themeColor="text1"/>
        </w:rPr>
        <w:t xml:space="preserve"> want and seek help to achieve.</w:t>
      </w:r>
    </w:p>
    <w:p w14:paraId="718F0220" w14:textId="26530E27" w:rsidR="00F31FB5" w:rsidRPr="00A76818" w:rsidRDefault="00AB422A" w:rsidP="000604EE">
      <w:pPr>
        <w:pStyle w:val="BodyText"/>
        <w:numPr>
          <w:ilvl w:val="2"/>
          <w:numId w:val="1"/>
        </w:numPr>
        <w:ind w:right="381"/>
        <w:contextualSpacing/>
        <w:rPr>
          <w:rFonts w:ascii="Calibri" w:hAnsi="Calibri" w:cs="Times New Roman"/>
          <w:color w:val="000000" w:themeColor="text1"/>
          <w:sz w:val="24"/>
          <w:szCs w:val="24"/>
        </w:rPr>
      </w:pPr>
      <w:r w:rsidRPr="00A76818">
        <w:rPr>
          <w:rFonts w:ascii="Calibri" w:hAnsi="Calibri" w:cs="Calibri"/>
          <w:color w:val="000000" w:themeColor="text1"/>
          <w:sz w:val="24"/>
          <w:szCs w:val="24"/>
        </w:rPr>
        <w:t xml:space="preserve">CSCoC’s Housing First Principles are consistent with the State of </w:t>
      </w:r>
      <w:r w:rsidRPr="00A76818">
        <w:rPr>
          <w:rFonts w:ascii="Calibri" w:hAnsi="Calibri" w:cs="Times New Roman"/>
          <w:color w:val="000000" w:themeColor="text1"/>
          <w:sz w:val="24"/>
          <w:szCs w:val="24"/>
        </w:rPr>
        <w:t xml:space="preserve">California’s Housing First core components prescribed in </w:t>
      </w:r>
      <w:r w:rsidRPr="00A76818">
        <w:rPr>
          <w:rFonts w:ascii="Calibri" w:hAnsi="Calibri" w:cs="Times New Roman"/>
          <w:color w:val="000000" w:themeColor="text1"/>
          <w:sz w:val="24"/>
          <w:szCs w:val="24"/>
          <w:shd w:val="clear" w:color="auto" w:fill="FFFFFF"/>
        </w:rPr>
        <w:t>CA Welf</w:t>
      </w:r>
      <w:r w:rsidR="007F0390" w:rsidRPr="00A76818">
        <w:rPr>
          <w:rFonts w:ascii="Calibri" w:hAnsi="Calibri" w:cs="Times New Roman"/>
          <w:color w:val="000000" w:themeColor="text1"/>
          <w:sz w:val="24"/>
          <w:szCs w:val="24"/>
          <w:shd w:val="clear" w:color="auto" w:fill="FFFFFF"/>
        </w:rPr>
        <w:t>are</w:t>
      </w:r>
      <w:r w:rsidRPr="00A76818">
        <w:rPr>
          <w:rFonts w:ascii="Calibri" w:hAnsi="Calibri" w:cs="Times New Roman"/>
          <w:color w:val="000000" w:themeColor="text1"/>
          <w:sz w:val="24"/>
          <w:szCs w:val="24"/>
          <w:shd w:val="clear" w:color="auto" w:fill="FFFFFF"/>
        </w:rPr>
        <w:t xml:space="preserve"> &amp; </w:t>
      </w:r>
      <w:r w:rsidR="007F0390" w:rsidRPr="00A76818">
        <w:rPr>
          <w:rFonts w:ascii="Calibri" w:hAnsi="Calibri" w:cs="Times New Roman"/>
          <w:color w:val="000000" w:themeColor="text1"/>
          <w:sz w:val="24"/>
          <w:szCs w:val="24"/>
          <w:shd w:val="clear" w:color="auto" w:fill="FFFFFF"/>
        </w:rPr>
        <w:t>Institutions</w:t>
      </w:r>
      <w:r w:rsidRPr="00A76818">
        <w:rPr>
          <w:rFonts w:ascii="Calibri" w:hAnsi="Calibri" w:cs="Times New Roman"/>
          <w:color w:val="000000" w:themeColor="text1"/>
          <w:sz w:val="24"/>
          <w:szCs w:val="24"/>
          <w:shd w:val="clear" w:color="auto" w:fill="FFFFFF"/>
        </w:rPr>
        <w:t xml:space="preserve"> Code § 8255 (2016), as well as the </w:t>
      </w:r>
      <w:r w:rsidR="007F0390" w:rsidRPr="00A76818">
        <w:rPr>
          <w:rFonts w:ascii="Calibri" w:hAnsi="Calibri" w:cs="Times New Roman"/>
          <w:color w:val="000000" w:themeColor="text1"/>
          <w:sz w:val="24"/>
          <w:szCs w:val="24"/>
          <w:shd w:val="clear" w:color="auto" w:fill="FFFFFF"/>
        </w:rPr>
        <w:t xml:space="preserve">ESG </w:t>
      </w:r>
      <w:r w:rsidRPr="00A76818">
        <w:rPr>
          <w:rFonts w:ascii="Calibri" w:hAnsi="Calibri" w:cs="Times New Roman"/>
          <w:color w:val="000000" w:themeColor="text1"/>
          <w:sz w:val="24"/>
          <w:szCs w:val="24"/>
          <w:shd w:val="clear" w:color="auto" w:fill="FFFFFF"/>
        </w:rPr>
        <w:t xml:space="preserve">Housing First practices outlined in 25 CCR, § 8409, subdivision (b)(1)-(6). </w:t>
      </w:r>
    </w:p>
    <w:p w14:paraId="5B52BDE4" w14:textId="212F031A" w:rsidR="00BE4B1E" w:rsidRPr="00A76818" w:rsidRDefault="00BE4B1E"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 xml:space="preserve">Please note, the following principles are required for CSCoC ESG and CoC funded programs only, although other programs in the Central Sierra region are encouraged to adopt these standards as well. </w:t>
      </w:r>
    </w:p>
    <w:p w14:paraId="5AFD2CD5" w14:textId="77777777" w:rsidR="00BC6C26" w:rsidRPr="00A76818" w:rsidRDefault="00BC6C26" w:rsidP="000604EE">
      <w:pPr>
        <w:pStyle w:val="ListParagraph"/>
        <w:numPr>
          <w:ilvl w:val="1"/>
          <w:numId w:val="1"/>
        </w:numPr>
        <w:rPr>
          <w:rFonts w:ascii="Calibri" w:hAnsi="Calibri" w:cs="Calibri"/>
          <w:color w:val="000000" w:themeColor="text1"/>
        </w:rPr>
      </w:pPr>
      <w:r w:rsidRPr="00A76818">
        <w:rPr>
          <w:rFonts w:ascii="Calibri" w:hAnsi="Calibri" w:cs="Calibri"/>
          <w:color w:val="000000" w:themeColor="text1"/>
        </w:rPr>
        <w:t>CSCoC Housing First Principles for All Program Types</w:t>
      </w:r>
    </w:p>
    <w:p w14:paraId="0BE1E556" w14:textId="77777777" w:rsidR="007F0390" w:rsidRPr="00A76818" w:rsidRDefault="00BC6C26"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lastRenderedPageBreak/>
        <w:t xml:space="preserve">Prioritizing </w:t>
      </w:r>
      <w:r w:rsidR="007F0390" w:rsidRPr="00A76818">
        <w:rPr>
          <w:rFonts w:ascii="Calibri" w:hAnsi="Calibri" w:cs="Calibri"/>
          <w:color w:val="000000" w:themeColor="text1"/>
        </w:rPr>
        <w:t>Households</w:t>
      </w:r>
      <w:r w:rsidRPr="00A76818">
        <w:rPr>
          <w:rFonts w:ascii="Calibri" w:hAnsi="Calibri" w:cs="Calibri"/>
          <w:color w:val="000000" w:themeColor="text1"/>
        </w:rPr>
        <w:t xml:space="preserve"> with the Most Need </w:t>
      </w:r>
    </w:p>
    <w:p w14:paraId="4764940C" w14:textId="77777777" w:rsidR="007F0390" w:rsidRPr="00A76818" w:rsidRDefault="007F0390"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Households</w:t>
      </w:r>
      <w:r w:rsidR="00BC6C26" w:rsidRPr="00A76818">
        <w:rPr>
          <w:rFonts w:ascii="Calibri" w:hAnsi="Calibri" w:cs="Calibri"/>
          <w:color w:val="000000" w:themeColor="text1"/>
        </w:rPr>
        <w:t xml:space="preserve"> are prioritized for housing and services using a standardized assessment tool,</w:t>
      </w:r>
      <w:r w:rsidRPr="00A76818">
        <w:rPr>
          <w:rFonts w:ascii="Calibri" w:hAnsi="Calibri" w:cs="Calibri"/>
          <w:color w:val="000000" w:themeColor="text1"/>
        </w:rPr>
        <w:t xml:space="preserve"> the modified VI-SPDAT,</w:t>
      </w:r>
      <w:r w:rsidR="00BC6C26" w:rsidRPr="00A76818">
        <w:rPr>
          <w:rFonts w:ascii="Calibri" w:hAnsi="Calibri" w:cs="Calibri"/>
          <w:color w:val="000000" w:themeColor="text1"/>
        </w:rPr>
        <w:t xml:space="preserve"> which captures the </w:t>
      </w:r>
      <w:r w:rsidRPr="00A76818">
        <w:rPr>
          <w:rFonts w:ascii="Calibri" w:hAnsi="Calibri" w:cs="Calibri"/>
          <w:color w:val="000000" w:themeColor="text1"/>
        </w:rPr>
        <w:t>household</w:t>
      </w:r>
      <w:r w:rsidR="00BC6C26" w:rsidRPr="00A76818">
        <w:rPr>
          <w:rFonts w:ascii="Calibri" w:hAnsi="Calibri" w:cs="Calibri"/>
          <w:color w:val="000000" w:themeColor="text1"/>
        </w:rPr>
        <w:t>’s unique history of homelessness, vulnerability factors, and utilization of crisis services.</w:t>
      </w:r>
    </w:p>
    <w:p w14:paraId="3CDCCB25" w14:textId="4D318082" w:rsidR="007F0390" w:rsidRPr="00A76818" w:rsidRDefault="00C51060"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 xml:space="preserve">All </w:t>
      </w:r>
      <w:r w:rsidR="007F0390" w:rsidRPr="00A76818">
        <w:rPr>
          <w:rFonts w:ascii="Calibri" w:hAnsi="Calibri" w:cs="Calibri"/>
          <w:color w:val="000000" w:themeColor="text1"/>
        </w:rPr>
        <w:t xml:space="preserve">households assessed using the </w:t>
      </w:r>
      <w:r w:rsidR="00387C2D" w:rsidRPr="00A76818">
        <w:rPr>
          <w:rFonts w:ascii="Calibri" w:hAnsi="Calibri" w:cs="Calibri"/>
          <w:color w:val="000000" w:themeColor="text1"/>
        </w:rPr>
        <w:t xml:space="preserve">modified </w:t>
      </w:r>
      <w:r w:rsidR="007F0390" w:rsidRPr="00A76818">
        <w:rPr>
          <w:rFonts w:ascii="Calibri" w:hAnsi="Calibri" w:cs="Calibri"/>
          <w:color w:val="000000" w:themeColor="text1"/>
        </w:rPr>
        <w:t xml:space="preserve">VI-SPDAT are assigned a </w:t>
      </w:r>
      <w:r w:rsidR="00BC6C26" w:rsidRPr="00A76818">
        <w:rPr>
          <w:rFonts w:ascii="Calibri" w:hAnsi="Calibri" w:cs="Calibri"/>
          <w:color w:val="000000" w:themeColor="text1"/>
        </w:rPr>
        <w:t>vulnerability score</w:t>
      </w:r>
      <w:r w:rsidRPr="00A76818">
        <w:rPr>
          <w:rFonts w:ascii="Calibri" w:hAnsi="Calibri" w:cs="Calibri"/>
          <w:color w:val="000000" w:themeColor="text1"/>
        </w:rPr>
        <w:t xml:space="preserve">. The vulnerability score, in addition to </w:t>
      </w:r>
      <w:r w:rsidR="009A2128" w:rsidRPr="00A76818">
        <w:rPr>
          <w:rFonts w:ascii="Calibri" w:hAnsi="Calibri" w:cs="Calibri"/>
          <w:color w:val="000000" w:themeColor="text1"/>
        </w:rPr>
        <w:t>the chronicity of homelessness and the experience of disabling conditions,</w:t>
      </w:r>
      <w:r w:rsidR="00BC6C26" w:rsidRPr="00A76818">
        <w:rPr>
          <w:rFonts w:ascii="Calibri" w:hAnsi="Calibri" w:cs="Calibri"/>
          <w:color w:val="000000" w:themeColor="text1"/>
        </w:rPr>
        <w:t xml:space="preserve"> </w:t>
      </w:r>
      <w:r w:rsidR="009A2128" w:rsidRPr="00A76818">
        <w:rPr>
          <w:rFonts w:ascii="Calibri" w:hAnsi="Calibri" w:cs="Calibri"/>
          <w:color w:val="000000" w:themeColor="text1"/>
        </w:rPr>
        <w:t>is used to</w:t>
      </w:r>
      <w:r w:rsidR="00BC6C26" w:rsidRPr="00A76818">
        <w:rPr>
          <w:rFonts w:ascii="Calibri" w:hAnsi="Calibri" w:cs="Calibri"/>
          <w:color w:val="000000" w:themeColor="text1"/>
        </w:rPr>
        <w:t xml:space="preserve"> determine </w:t>
      </w:r>
      <w:r w:rsidR="00387C2D" w:rsidRPr="00A76818">
        <w:rPr>
          <w:rFonts w:ascii="Calibri" w:hAnsi="Calibri" w:cs="Calibri"/>
          <w:color w:val="000000" w:themeColor="text1"/>
        </w:rPr>
        <w:t>each</w:t>
      </w:r>
      <w:r w:rsidR="00BC6C26" w:rsidRPr="00A76818">
        <w:rPr>
          <w:rFonts w:ascii="Calibri" w:hAnsi="Calibri" w:cs="Calibri"/>
          <w:color w:val="000000" w:themeColor="text1"/>
        </w:rPr>
        <w:t xml:space="preserve"> </w:t>
      </w:r>
      <w:r w:rsidR="007F0390" w:rsidRPr="00A76818">
        <w:rPr>
          <w:rFonts w:ascii="Calibri" w:hAnsi="Calibri" w:cs="Calibri"/>
          <w:color w:val="000000" w:themeColor="text1"/>
        </w:rPr>
        <w:t>household’</w:t>
      </w:r>
      <w:r w:rsidR="00BC6C26" w:rsidRPr="00A76818">
        <w:rPr>
          <w:rFonts w:ascii="Calibri" w:hAnsi="Calibri" w:cs="Calibri"/>
          <w:color w:val="000000" w:themeColor="text1"/>
        </w:rPr>
        <w:t>s prioritization for housing and services as compared to</w:t>
      </w:r>
      <w:r w:rsidR="00387C2D" w:rsidRPr="00A76818">
        <w:rPr>
          <w:rFonts w:ascii="Calibri" w:hAnsi="Calibri" w:cs="Calibri"/>
          <w:color w:val="000000" w:themeColor="text1"/>
        </w:rPr>
        <w:t xml:space="preserve"> other</w:t>
      </w:r>
      <w:r w:rsidR="00BC6C26" w:rsidRPr="00A76818">
        <w:rPr>
          <w:rFonts w:ascii="Calibri" w:hAnsi="Calibri" w:cs="Calibri"/>
          <w:color w:val="000000" w:themeColor="text1"/>
        </w:rPr>
        <w:t xml:space="preserve"> assessed </w:t>
      </w:r>
      <w:r w:rsidR="00387C2D" w:rsidRPr="00A76818">
        <w:rPr>
          <w:rFonts w:ascii="Calibri" w:hAnsi="Calibri" w:cs="Calibri"/>
          <w:color w:val="000000" w:themeColor="text1"/>
        </w:rPr>
        <w:t>households</w:t>
      </w:r>
      <w:r w:rsidR="00BC6C26" w:rsidRPr="00A76818">
        <w:rPr>
          <w:rFonts w:ascii="Calibri" w:hAnsi="Calibri" w:cs="Calibri"/>
          <w:color w:val="000000" w:themeColor="text1"/>
        </w:rPr>
        <w:t xml:space="preserve"> across the CSCoC. This takes the place of traditional “wait list” or “first come, first served” models. </w:t>
      </w:r>
    </w:p>
    <w:p w14:paraId="7B80856D" w14:textId="3D26DCB6" w:rsidR="007F0390" w:rsidRPr="00A76818" w:rsidRDefault="00BC6C26"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Low</w:t>
      </w:r>
      <w:r w:rsidR="00B14198">
        <w:rPr>
          <w:rFonts w:ascii="Calibri" w:hAnsi="Calibri" w:cs="Calibri"/>
          <w:color w:val="000000" w:themeColor="text1"/>
        </w:rPr>
        <w:t xml:space="preserve"> </w:t>
      </w:r>
      <w:r w:rsidRPr="00A76818">
        <w:rPr>
          <w:rFonts w:ascii="Calibri" w:hAnsi="Calibri" w:cs="Calibri"/>
          <w:color w:val="000000" w:themeColor="text1"/>
        </w:rPr>
        <w:t xml:space="preserve">Barrier Housing </w:t>
      </w:r>
    </w:p>
    <w:p w14:paraId="2B502D99" w14:textId="018F23F0" w:rsidR="00AB422A" w:rsidRPr="00A76818" w:rsidRDefault="00AB422A"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 xml:space="preserve">Each </w:t>
      </w:r>
      <w:r w:rsidR="007F0390" w:rsidRPr="00A76818">
        <w:rPr>
          <w:rFonts w:ascii="Calibri" w:hAnsi="Calibri" w:cs="Calibri"/>
          <w:color w:val="000000" w:themeColor="text1"/>
        </w:rPr>
        <w:t xml:space="preserve">service </w:t>
      </w:r>
      <w:r w:rsidRPr="00A76818">
        <w:rPr>
          <w:rFonts w:ascii="Calibri" w:hAnsi="Calibri" w:cs="Calibri"/>
          <w:color w:val="000000" w:themeColor="text1"/>
        </w:rPr>
        <w:t>provider will seek to quickly resolve the</w:t>
      </w:r>
      <w:r w:rsidR="007F0390" w:rsidRPr="00A76818">
        <w:rPr>
          <w:rFonts w:ascii="Calibri" w:hAnsi="Calibri" w:cs="Calibri"/>
          <w:color w:val="000000" w:themeColor="text1"/>
        </w:rPr>
        <w:t xml:space="preserve"> household’s</w:t>
      </w:r>
      <w:r w:rsidRPr="00A76818">
        <w:rPr>
          <w:rFonts w:ascii="Calibri" w:hAnsi="Calibri" w:cs="Calibri"/>
          <w:color w:val="000000" w:themeColor="text1"/>
        </w:rPr>
        <w:t xml:space="preserve"> housing crisis before focusing on other non-housing related services</w:t>
      </w:r>
      <w:r w:rsidR="007F0390" w:rsidRPr="00A76818">
        <w:rPr>
          <w:rFonts w:ascii="Calibri" w:hAnsi="Calibri" w:cs="Calibri"/>
          <w:color w:val="000000" w:themeColor="text1"/>
        </w:rPr>
        <w:t xml:space="preserve">. </w:t>
      </w:r>
    </w:p>
    <w:p w14:paraId="27F1DC0F" w14:textId="77777777" w:rsidR="00387C2D" w:rsidRPr="00A76818" w:rsidRDefault="007F0390"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The household</w:t>
      </w:r>
      <w:r w:rsidR="00C51060" w:rsidRPr="00A76818">
        <w:rPr>
          <w:rFonts w:ascii="Calibri" w:hAnsi="Calibri" w:cs="Calibri"/>
          <w:color w:val="000000" w:themeColor="text1"/>
          <w:shd w:val="clear" w:color="auto" w:fill="FFFFFF"/>
        </w:rPr>
        <w:t xml:space="preserve"> screening and selection practices promote</w:t>
      </w:r>
      <w:r w:rsidR="00387C2D" w:rsidRPr="00A76818">
        <w:rPr>
          <w:rFonts w:ascii="Calibri" w:hAnsi="Calibri" w:cs="Calibri"/>
          <w:color w:val="000000" w:themeColor="text1"/>
          <w:shd w:val="clear" w:color="auto" w:fill="FFFFFF"/>
        </w:rPr>
        <w:t>s</w:t>
      </w:r>
      <w:r w:rsidR="00C51060" w:rsidRPr="00A76818">
        <w:rPr>
          <w:rFonts w:ascii="Calibri" w:hAnsi="Calibri" w:cs="Calibri"/>
          <w:color w:val="000000" w:themeColor="text1"/>
          <w:shd w:val="clear" w:color="auto" w:fill="FFFFFF"/>
        </w:rPr>
        <w:t xml:space="preserve"> accepting </w:t>
      </w:r>
      <w:r w:rsidRPr="00A76818">
        <w:rPr>
          <w:rFonts w:ascii="Calibri" w:hAnsi="Calibri" w:cs="Calibri"/>
          <w:color w:val="000000" w:themeColor="text1"/>
          <w:shd w:val="clear" w:color="auto" w:fill="FFFFFF"/>
        </w:rPr>
        <w:t>households</w:t>
      </w:r>
      <w:r w:rsidR="00C51060" w:rsidRPr="00A76818">
        <w:rPr>
          <w:rFonts w:ascii="Calibri" w:hAnsi="Calibri" w:cs="Calibri"/>
          <w:color w:val="000000" w:themeColor="text1"/>
          <w:shd w:val="clear" w:color="auto" w:fill="FFFFFF"/>
        </w:rPr>
        <w:t xml:space="preserve"> regardless of their sobriety or use of substances, completion of treatment, or participation in services.</w:t>
      </w:r>
    </w:p>
    <w:p w14:paraId="4F5AD2BC" w14:textId="3F97E721" w:rsidR="00BC6C26" w:rsidRPr="00A76818" w:rsidRDefault="00BC6C26"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Housing is not contingent on a</w:t>
      </w:r>
      <w:r w:rsidR="00387C2D" w:rsidRPr="00A76818">
        <w:rPr>
          <w:rFonts w:ascii="Calibri" w:hAnsi="Calibri" w:cs="Calibri"/>
          <w:color w:val="000000" w:themeColor="text1"/>
        </w:rPr>
        <w:t xml:space="preserve"> household’s</w:t>
      </w:r>
      <w:r w:rsidRPr="00A76818">
        <w:rPr>
          <w:rFonts w:ascii="Calibri" w:hAnsi="Calibri" w:cs="Calibri"/>
          <w:color w:val="000000" w:themeColor="text1"/>
        </w:rPr>
        <w:t xml:space="preserve"> </w:t>
      </w:r>
      <w:r w:rsidR="00C51060" w:rsidRPr="00A76818">
        <w:rPr>
          <w:rFonts w:ascii="Calibri" w:hAnsi="Calibri" w:cs="Calibri"/>
          <w:color w:val="000000" w:themeColor="text1"/>
        </w:rPr>
        <w:t xml:space="preserve">poor or lack of </w:t>
      </w:r>
      <w:r w:rsidRPr="00A76818">
        <w:rPr>
          <w:rFonts w:ascii="Calibri" w:hAnsi="Calibri" w:cs="Calibri"/>
          <w:color w:val="000000" w:themeColor="text1"/>
        </w:rPr>
        <w:t xml:space="preserve">rental history, credit </w:t>
      </w:r>
      <w:r w:rsidR="00C51060" w:rsidRPr="00A76818">
        <w:rPr>
          <w:rFonts w:ascii="Calibri" w:hAnsi="Calibri" w:cs="Calibri"/>
          <w:color w:val="000000" w:themeColor="text1"/>
        </w:rPr>
        <w:t>or financial history</w:t>
      </w:r>
      <w:r w:rsidRPr="00A76818">
        <w:rPr>
          <w:rFonts w:ascii="Calibri" w:hAnsi="Calibri" w:cs="Calibri"/>
          <w:color w:val="000000" w:themeColor="text1"/>
        </w:rPr>
        <w:t xml:space="preserve">, employment status, </w:t>
      </w:r>
      <w:r w:rsidR="009A2128" w:rsidRPr="00A76818">
        <w:rPr>
          <w:rFonts w:ascii="Calibri" w:hAnsi="Calibri" w:cs="Calibri"/>
          <w:color w:val="000000" w:themeColor="text1"/>
        </w:rPr>
        <w:t xml:space="preserve">lack of income or limited income history, mental health challenges, </w:t>
      </w:r>
      <w:r w:rsidR="00C51060" w:rsidRPr="00A76818">
        <w:rPr>
          <w:rFonts w:ascii="Calibri" w:hAnsi="Calibri" w:cs="Calibri"/>
          <w:color w:val="000000" w:themeColor="text1"/>
        </w:rPr>
        <w:t xml:space="preserve">criminal convictions unrelated to tenancy, </w:t>
      </w:r>
      <w:r w:rsidRPr="00A76818">
        <w:rPr>
          <w:rFonts w:ascii="Calibri" w:hAnsi="Calibri" w:cs="Calibri"/>
          <w:color w:val="000000" w:themeColor="text1"/>
        </w:rPr>
        <w:t xml:space="preserve">or ability to otherwise prove “housing readiness.” Instead, </w:t>
      </w:r>
      <w:r w:rsidR="00387C2D" w:rsidRPr="00A76818">
        <w:rPr>
          <w:rFonts w:ascii="Calibri" w:hAnsi="Calibri" w:cs="Calibri"/>
          <w:color w:val="000000" w:themeColor="text1"/>
        </w:rPr>
        <w:t>households</w:t>
      </w:r>
      <w:r w:rsidRPr="00A76818">
        <w:rPr>
          <w:rFonts w:ascii="Calibri" w:hAnsi="Calibri" w:cs="Calibri"/>
          <w:color w:val="000000" w:themeColor="text1"/>
        </w:rPr>
        <w:t xml:space="preserve"> will only be required to comply with a standard lease agreement and will be prioritized for housing based on the results of the </w:t>
      </w:r>
      <w:r w:rsidR="00387C2D" w:rsidRPr="00A76818">
        <w:rPr>
          <w:rFonts w:ascii="Calibri" w:hAnsi="Calibri" w:cs="Calibri"/>
          <w:color w:val="000000" w:themeColor="text1"/>
        </w:rPr>
        <w:t>modified VI-</w:t>
      </w:r>
      <w:r w:rsidRPr="00A76818">
        <w:rPr>
          <w:rFonts w:ascii="Calibri" w:hAnsi="Calibri" w:cs="Calibri"/>
          <w:color w:val="000000" w:themeColor="text1"/>
        </w:rPr>
        <w:t xml:space="preserve">SPDAT. </w:t>
      </w:r>
    </w:p>
    <w:p w14:paraId="6A534425" w14:textId="56A483A4" w:rsidR="00BC6C26" w:rsidRPr="00A76818" w:rsidRDefault="00BC6C26" w:rsidP="000604EE">
      <w:pPr>
        <w:pStyle w:val="ListParagraph"/>
        <w:numPr>
          <w:ilvl w:val="3"/>
          <w:numId w:val="1"/>
        </w:numPr>
        <w:rPr>
          <w:rFonts w:ascii="Calibri" w:hAnsi="Calibri"/>
          <w:color w:val="000000" w:themeColor="text1"/>
        </w:rPr>
      </w:pPr>
      <w:r w:rsidRPr="00A76818">
        <w:rPr>
          <w:rFonts w:ascii="Calibri" w:hAnsi="Calibri"/>
          <w:color w:val="000000" w:themeColor="text1"/>
          <w:shd w:val="clear" w:color="auto" w:fill="FFFFFF"/>
        </w:rPr>
        <w:t xml:space="preserve">Each </w:t>
      </w:r>
      <w:r w:rsidR="00387C2D" w:rsidRPr="00A76818">
        <w:rPr>
          <w:rFonts w:ascii="Calibri" w:hAnsi="Calibri"/>
          <w:color w:val="000000" w:themeColor="text1"/>
          <w:shd w:val="clear" w:color="auto" w:fill="FFFFFF"/>
        </w:rPr>
        <w:t>household</w:t>
      </w:r>
      <w:r w:rsidRPr="00A76818">
        <w:rPr>
          <w:rFonts w:ascii="Calibri" w:hAnsi="Calibri"/>
          <w:color w:val="000000" w:themeColor="text1"/>
          <w:shd w:val="clear" w:color="auto" w:fill="FFFFFF"/>
        </w:rPr>
        <w:t xml:space="preserve"> will be provided with the services and supports that are necessary to help them comply with a standard lease agreement and maintain permanent housing</w:t>
      </w:r>
      <w:r w:rsidR="000C7D2E" w:rsidRPr="00A76818">
        <w:rPr>
          <w:rFonts w:ascii="Calibri" w:hAnsi="Calibri"/>
          <w:color w:val="000000" w:themeColor="text1"/>
          <w:shd w:val="clear" w:color="auto" w:fill="FFFFFF"/>
        </w:rPr>
        <w:t xml:space="preserve">. </w:t>
      </w:r>
    </w:p>
    <w:p w14:paraId="176A3515" w14:textId="049C2DD8" w:rsidR="00BC6C26" w:rsidRPr="00A76818" w:rsidRDefault="00BC6C26" w:rsidP="000604EE">
      <w:pPr>
        <w:pStyle w:val="ListParagraph"/>
        <w:numPr>
          <w:ilvl w:val="3"/>
          <w:numId w:val="1"/>
        </w:numPr>
        <w:rPr>
          <w:rFonts w:ascii="Calibri" w:hAnsi="Calibri"/>
          <w:color w:val="000000" w:themeColor="text1"/>
        </w:rPr>
      </w:pPr>
      <w:r w:rsidRPr="00A76818">
        <w:rPr>
          <w:rFonts w:ascii="Calibri" w:hAnsi="Calibri"/>
          <w:color w:val="000000" w:themeColor="text1"/>
        </w:rPr>
        <w:t>Housing</w:t>
      </w:r>
      <w:r w:rsidRPr="00A76818">
        <w:rPr>
          <w:rFonts w:ascii="Calibri" w:hAnsi="Calibri"/>
          <w:color w:val="000000" w:themeColor="text1"/>
          <w:spacing w:val="2"/>
        </w:rPr>
        <w:t xml:space="preserve"> </w:t>
      </w:r>
      <w:r w:rsidRPr="00A76818">
        <w:rPr>
          <w:rFonts w:ascii="Calibri" w:hAnsi="Calibri"/>
          <w:color w:val="000000" w:themeColor="text1"/>
          <w:spacing w:val="-10"/>
        </w:rPr>
        <w:t>i</w:t>
      </w:r>
      <w:r w:rsidRPr="00A76818">
        <w:rPr>
          <w:rFonts w:ascii="Calibri" w:hAnsi="Calibri"/>
          <w:color w:val="000000" w:themeColor="text1"/>
          <w:spacing w:val="-19"/>
        </w:rPr>
        <w:t>s</w:t>
      </w:r>
      <w:r w:rsidRPr="00A76818">
        <w:rPr>
          <w:rFonts w:ascii="Calibri" w:hAnsi="Calibri"/>
          <w:color w:val="000000" w:themeColor="text1"/>
          <w:spacing w:val="-3"/>
        </w:rPr>
        <w:t xml:space="preserve"> </w:t>
      </w:r>
      <w:r w:rsidRPr="00A76818">
        <w:rPr>
          <w:rFonts w:ascii="Calibri" w:hAnsi="Calibri"/>
          <w:color w:val="000000" w:themeColor="text1"/>
        </w:rPr>
        <w:t>considered</w:t>
      </w:r>
      <w:r w:rsidRPr="00A76818">
        <w:rPr>
          <w:rFonts w:ascii="Calibri" w:hAnsi="Calibri"/>
          <w:color w:val="000000" w:themeColor="text1"/>
          <w:spacing w:val="8"/>
        </w:rPr>
        <w:t xml:space="preserve"> </w:t>
      </w:r>
      <w:r w:rsidRPr="00A76818">
        <w:rPr>
          <w:rFonts w:ascii="Calibri" w:hAnsi="Calibri"/>
          <w:color w:val="000000" w:themeColor="text1"/>
        </w:rPr>
        <w:t>affordable</w:t>
      </w:r>
      <w:r w:rsidRPr="00A76818">
        <w:rPr>
          <w:rFonts w:ascii="Calibri" w:hAnsi="Calibri"/>
          <w:color w:val="000000" w:themeColor="text1"/>
          <w:spacing w:val="8"/>
        </w:rPr>
        <w:t xml:space="preserve"> </w:t>
      </w:r>
      <w:r w:rsidRPr="00A76818">
        <w:rPr>
          <w:rFonts w:ascii="Calibri" w:hAnsi="Calibri"/>
          <w:color w:val="000000" w:themeColor="text1"/>
        </w:rPr>
        <w:t>when</w:t>
      </w:r>
      <w:r w:rsidRPr="00A76818">
        <w:rPr>
          <w:rFonts w:ascii="Calibri" w:hAnsi="Calibri"/>
          <w:color w:val="000000" w:themeColor="text1"/>
          <w:spacing w:val="6"/>
        </w:rPr>
        <w:t xml:space="preserve"> </w:t>
      </w:r>
      <w:r w:rsidR="00387C2D" w:rsidRPr="00A76818">
        <w:rPr>
          <w:rFonts w:ascii="Calibri" w:hAnsi="Calibri"/>
          <w:color w:val="000000" w:themeColor="text1"/>
        </w:rPr>
        <w:t>households</w:t>
      </w:r>
      <w:r w:rsidRPr="00A76818">
        <w:rPr>
          <w:rFonts w:ascii="Calibri" w:hAnsi="Calibri"/>
          <w:color w:val="000000" w:themeColor="text1"/>
          <w:spacing w:val="19"/>
        </w:rPr>
        <w:t xml:space="preserve"> </w:t>
      </w:r>
      <w:r w:rsidRPr="00A76818">
        <w:rPr>
          <w:rFonts w:ascii="Calibri" w:hAnsi="Calibri"/>
          <w:color w:val="000000" w:themeColor="text1"/>
        </w:rPr>
        <w:t>pay</w:t>
      </w:r>
      <w:r w:rsidRPr="00A76818">
        <w:rPr>
          <w:rFonts w:ascii="Calibri" w:hAnsi="Calibri"/>
          <w:color w:val="000000" w:themeColor="text1"/>
          <w:spacing w:val="-2"/>
        </w:rPr>
        <w:t xml:space="preserve"> </w:t>
      </w:r>
      <w:r w:rsidRPr="00A76818">
        <w:rPr>
          <w:rFonts w:ascii="Calibri" w:hAnsi="Calibri"/>
          <w:color w:val="000000" w:themeColor="text1"/>
        </w:rPr>
        <w:t>no more</w:t>
      </w:r>
      <w:r w:rsidRPr="00A76818">
        <w:rPr>
          <w:rFonts w:ascii="Calibri" w:hAnsi="Calibri"/>
          <w:color w:val="000000" w:themeColor="text1"/>
          <w:spacing w:val="-9"/>
        </w:rPr>
        <w:t xml:space="preserve"> </w:t>
      </w:r>
      <w:r w:rsidRPr="00A76818">
        <w:rPr>
          <w:rFonts w:ascii="Calibri" w:hAnsi="Calibri"/>
          <w:color w:val="000000" w:themeColor="text1"/>
        </w:rPr>
        <w:t>than</w:t>
      </w:r>
      <w:r w:rsidRPr="00A76818">
        <w:rPr>
          <w:rFonts w:ascii="Calibri" w:hAnsi="Calibri"/>
          <w:color w:val="000000" w:themeColor="text1"/>
          <w:spacing w:val="8"/>
        </w:rPr>
        <w:t xml:space="preserve"> </w:t>
      </w:r>
      <w:r w:rsidRPr="00A76818">
        <w:rPr>
          <w:rFonts w:ascii="Calibri" w:hAnsi="Calibri"/>
          <w:color w:val="000000" w:themeColor="text1"/>
        </w:rPr>
        <w:t>30</w:t>
      </w:r>
      <w:r w:rsidRPr="00A76818">
        <w:rPr>
          <w:rFonts w:ascii="Calibri" w:hAnsi="Calibri"/>
          <w:color w:val="000000" w:themeColor="text1"/>
          <w:spacing w:val="3"/>
        </w:rPr>
        <w:t xml:space="preserve"> </w:t>
      </w:r>
      <w:r w:rsidRPr="00A76818">
        <w:rPr>
          <w:rFonts w:ascii="Calibri" w:hAnsi="Calibri"/>
          <w:color w:val="000000" w:themeColor="text1"/>
        </w:rPr>
        <w:t>percent</w:t>
      </w:r>
      <w:r w:rsidRPr="00A76818">
        <w:rPr>
          <w:rFonts w:ascii="Calibri" w:hAnsi="Calibri"/>
          <w:color w:val="000000" w:themeColor="text1"/>
          <w:spacing w:val="2"/>
        </w:rPr>
        <w:t xml:space="preserve"> </w:t>
      </w:r>
      <w:r w:rsidRPr="00A76818">
        <w:rPr>
          <w:rFonts w:ascii="Calibri" w:hAnsi="Calibri"/>
          <w:color w:val="000000" w:themeColor="text1"/>
        </w:rPr>
        <w:t>of</w:t>
      </w:r>
      <w:r w:rsidRPr="00A76818">
        <w:rPr>
          <w:rFonts w:ascii="Calibri" w:hAnsi="Calibri"/>
          <w:color w:val="000000" w:themeColor="text1"/>
          <w:spacing w:val="-5"/>
        </w:rPr>
        <w:t xml:space="preserve"> </w:t>
      </w:r>
      <w:r w:rsidRPr="00A76818">
        <w:rPr>
          <w:rFonts w:ascii="Calibri" w:hAnsi="Calibri"/>
          <w:color w:val="000000" w:themeColor="text1"/>
        </w:rPr>
        <w:t>their</w:t>
      </w:r>
      <w:r w:rsidRPr="00A76818">
        <w:rPr>
          <w:rFonts w:ascii="Calibri" w:hAnsi="Calibri"/>
          <w:color w:val="000000" w:themeColor="text1"/>
          <w:spacing w:val="21"/>
          <w:w w:val="102"/>
        </w:rPr>
        <w:t xml:space="preserve"> </w:t>
      </w:r>
      <w:r w:rsidRPr="00A76818">
        <w:rPr>
          <w:rFonts w:ascii="Calibri" w:hAnsi="Calibri"/>
          <w:color w:val="000000" w:themeColor="text1"/>
        </w:rPr>
        <w:t>income</w:t>
      </w:r>
      <w:r w:rsidRPr="00A76818">
        <w:rPr>
          <w:rFonts w:ascii="Calibri" w:hAnsi="Calibri"/>
          <w:color w:val="000000" w:themeColor="text1"/>
          <w:spacing w:val="3"/>
        </w:rPr>
        <w:t xml:space="preserve"> </w:t>
      </w:r>
      <w:r w:rsidRPr="00A76818">
        <w:rPr>
          <w:rFonts w:ascii="Calibri" w:hAnsi="Calibri"/>
          <w:color w:val="000000" w:themeColor="text1"/>
        </w:rPr>
        <w:t>toward</w:t>
      </w:r>
      <w:r w:rsidRPr="00A76818">
        <w:rPr>
          <w:rFonts w:ascii="Calibri" w:hAnsi="Calibri"/>
          <w:color w:val="000000" w:themeColor="text1"/>
          <w:spacing w:val="24"/>
        </w:rPr>
        <w:t xml:space="preserve"> </w:t>
      </w:r>
      <w:r w:rsidRPr="00A76818">
        <w:rPr>
          <w:rFonts w:ascii="Calibri" w:hAnsi="Calibri"/>
          <w:color w:val="000000" w:themeColor="text1"/>
        </w:rPr>
        <w:t>rent</w:t>
      </w:r>
      <w:r w:rsidRPr="00A76818">
        <w:rPr>
          <w:rFonts w:ascii="Calibri" w:hAnsi="Calibri"/>
          <w:color w:val="000000" w:themeColor="text1"/>
          <w:spacing w:val="10"/>
        </w:rPr>
        <w:t xml:space="preserve"> </w:t>
      </w:r>
      <w:r w:rsidRPr="00A76818">
        <w:rPr>
          <w:rFonts w:ascii="Calibri" w:hAnsi="Calibri"/>
          <w:color w:val="000000" w:themeColor="text1"/>
        </w:rPr>
        <w:t>plus</w:t>
      </w:r>
      <w:r w:rsidRPr="00A76818">
        <w:rPr>
          <w:rFonts w:ascii="Calibri" w:hAnsi="Calibri"/>
          <w:color w:val="000000" w:themeColor="text1"/>
          <w:spacing w:val="11"/>
        </w:rPr>
        <w:t xml:space="preserve"> </w:t>
      </w:r>
      <w:r w:rsidRPr="00A76818">
        <w:rPr>
          <w:rFonts w:ascii="Calibri" w:hAnsi="Calibri"/>
          <w:color w:val="000000" w:themeColor="text1"/>
        </w:rPr>
        <w:t>basic</w:t>
      </w:r>
      <w:r w:rsidRPr="00A76818">
        <w:rPr>
          <w:rFonts w:ascii="Calibri" w:hAnsi="Calibri"/>
          <w:color w:val="000000" w:themeColor="text1"/>
          <w:spacing w:val="14"/>
        </w:rPr>
        <w:t xml:space="preserve"> </w:t>
      </w:r>
      <w:r w:rsidRPr="00A76818">
        <w:rPr>
          <w:rFonts w:ascii="Calibri" w:hAnsi="Calibri"/>
          <w:color w:val="000000" w:themeColor="text1"/>
          <w:spacing w:val="-1"/>
        </w:rPr>
        <w:t>utiliti</w:t>
      </w:r>
      <w:r w:rsidRPr="00A76818">
        <w:rPr>
          <w:rFonts w:ascii="Calibri" w:hAnsi="Calibri"/>
          <w:color w:val="000000" w:themeColor="text1"/>
          <w:spacing w:val="-2"/>
        </w:rPr>
        <w:t>es.</w:t>
      </w:r>
    </w:p>
    <w:p w14:paraId="37B08F4D" w14:textId="0EE0AF13" w:rsidR="00B14198" w:rsidRPr="00B14198" w:rsidRDefault="00C51060" w:rsidP="00B14198">
      <w:pPr>
        <w:pStyle w:val="ListParagraph"/>
        <w:numPr>
          <w:ilvl w:val="3"/>
          <w:numId w:val="1"/>
        </w:numPr>
        <w:rPr>
          <w:rFonts w:ascii="Calibri" w:hAnsi="Calibri"/>
          <w:color w:val="000000" w:themeColor="text1"/>
        </w:rPr>
      </w:pPr>
      <w:r w:rsidRPr="00A76818">
        <w:rPr>
          <w:rFonts w:ascii="Calibri" w:hAnsi="Calibri"/>
          <w:color w:val="000000" w:themeColor="text1"/>
          <w:shd w:val="clear" w:color="auto" w:fill="FFFFFF"/>
        </w:rPr>
        <w:t>Participation in services or program compliance is not a condition of permanent housing tenancy.</w:t>
      </w:r>
    </w:p>
    <w:p w14:paraId="69760578" w14:textId="126ADCB8" w:rsidR="00B14198" w:rsidRPr="003D267D" w:rsidRDefault="00B14198" w:rsidP="000604EE">
      <w:pPr>
        <w:pStyle w:val="ListParagraph"/>
        <w:numPr>
          <w:ilvl w:val="3"/>
          <w:numId w:val="1"/>
        </w:numPr>
        <w:rPr>
          <w:rFonts w:ascii="Calibri" w:hAnsi="Calibri"/>
          <w:color w:val="000000" w:themeColor="text1"/>
        </w:rPr>
      </w:pPr>
      <w:r w:rsidRPr="003D267D">
        <w:rPr>
          <w:rFonts w:ascii="Calibri" w:hAnsi="Calibri" w:cs="Calibri"/>
        </w:rPr>
        <w:t>Individuals and families experiencing homelessness are not required to receive treatment or perform any other prerequisite activities as a condition for receiving shelter, rental assistance, or other services provided with ESG-CV funds. Program participants are not required to sign leases or occupancy agreements, receive treatment, receive drug testing, receive COVID-19 testing, or perform any other prerequisite activities as a condition of staying in any shelter or receiving services.</w:t>
      </w:r>
    </w:p>
    <w:p w14:paraId="219003D8" w14:textId="77777777" w:rsidR="00BC6C26" w:rsidRPr="00A76818" w:rsidRDefault="00BC6C26" w:rsidP="000604EE">
      <w:pPr>
        <w:pStyle w:val="ListParagraph"/>
        <w:numPr>
          <w:ilvl w:val="2"/>
          <w:numId w:val="1"/>
        </w:numPr>
        <w:rPr>
          <w:rFonts w:ascii="Calibri" w:hAnsi="Calibri"/>
          <w:color w:val="000000" w:themeColor="text1"/>
        </w:rPr>
      </w:pPr>
      <w:r w:rsidRPr="00A76818">
        <w:rPr>
          <w:rFonts w:ascii="Calibri" w:hAnsi="Calibri"/>
          <w:color w:val="000000" w:themeColor="text1"/>
        </w:rPr>
        <w:t>Client-Centered</w:t>
      </w:r>
    </w:p>
    <w:p w14:paraId="2CF0353C" w14:textId="3CE26B90" w:rsidR="00BC6C26" w:rsidRPr="00A76818" w:rsidRDefault="00BC6C26" w:rsidP="000604EE">
      <w:pPr>
        <w:pStyle w:val="ListParagraph"/>
        <w:numPr>
          <w:ilvl w:val="3"/>
          <w:numId w:val="1"/>
        </w:numPr>
        <w:rPr>
          <w:rFonts w:ascii="Calibri" w:hAnsi="Calibri"/>
          <w:color w:val="000000" w:themeColor="text1"/>
        </w:rPr>
      </w:pPr>
      <w:r w:rsidRPr="00A76818">
        <w:rPr>
          <w:rFonts w:ascii="Calibri" w:hAnsi="Calibri"/>
          <w:color w:val="000000" w:themeColor="text1"/>
        </w:rPr>
        <w:t>To</w:t>
      </w:r>
      <w:r w:rsidRPr="00A76818">
        <w:rPr>
          <w:rFonts w:ascii="Calibri" w:hAnsi="Calibri"/>
          <w:color w:val="000000" w:themeColor="text1"/>
          <w:spacing w:val="-6"/>
        </w:rPr>
        <w:t xml:space="preserve"> </w:t>
      </w:r>
      <w:r w:rsidRPr="00A76818">
        <w:rPr>
          <w:rFonts w:ascii="Calibri" w:hAnsi="Calibri"/>
          <w:color w:val="000000" w:themeColor="text1"/>
        </w:rPr>
        <w:t>the</w:t>
      </w:r>
      <w:r w:rsidRPr="00A76818">
        <w:rPr>
          <w:rFonts w:ascii="Calibri" w:hAnsi="Calibri"/>
          <w:color w:val="000000" w:themeColor="text1"/>
          <w:spacing w:val="2"/>
        </w:rPr>
        <w:t xml:space="preserve"> </w:t>
      </w:r>
      <w:r w:rsidRPr="00A76818">
        <w:rPr>
          <w:rFonts w:ascii="Calibri" w:hAnsi="Calibri"/>
          <w:color w:val="000000" w:themeColor="text1"/>
        </w:rPr>
        <w:t>extent</w:t>
      </w:r>
      <w:r w:rsidRPr="00A76818">
        <w:rPr>
          <w:rFonts w:ascii="Calibri" w:hAnsi="Calibri"/>
          <w:color w:val="000000" w:themeColor="text1"/>
          <w:spacing w:val="18"/>
        </w:rPr>
        <w:t xml:space="preserve"> </w:t>
      </w:r>
      <w:r w:rsidRPr="00A76818">
        <w:rPr>
          <w:rFonts w:ascii="Calibri" w:hAnsi="Calibri"/>
          <w:color w:val="000000" w:themeColor="text1"/>
        </w:rPr>
        <w:t>possible,</w:t>
      </w:r>
      <w:r w:rsidR="00387C2D" w:rsidRPr="00A76818">
        <w:rPr>
          <w:rFonts w:ascii="Calibri" w:hAnsi="Calibri"/>
          <w:color w:val="000000" w:themeColor="text1"/>
          <w:spacing w:val="-1"/>
        </w:rPr>
        <w:t xml:space="preserve"> household</w:t>
      </w:r>
      <w:r w:rsidRPr="00A76818">
        <w:rPr>
          <w:rFonts w:ascii="Calibri" w:hAnsi="Calibri"/>
          <w:color w:val="000000" w:themeColor="text1"/>
          <w:spacing w:val="3"/>
        </w:rPr>
        <w:t xml:space="preserve"> </w:t>
      </w:r>
      <w:r w:rsidRPr="00A76818">
        <w:rPr>
          <w:rFonts w:ascii="Calibri" w:hAnsi="Calibri"/>
          <w:color w:val="000000" w:themeColor="text1"/>
        </w:rPr>
        <w:t>should</w:t>
      </w:r>
      <w:r w:rsidRPr="00A76818">
        <w:rPr>
          <w:rFonts w:ascii="Calibri" w:hAnsi="Calibri"/>
          <w:color w:val="000000" w:themeColor="text1"/>
          <w:spacing w:val="-1"/>
        </w:rPr>
        <w:t xml:space="preserve"> </w:t>
      </w:r>
      <w:r w:rsidRPr="00A76818">
        <w:rPr>
          <w:rFonts w:ascii="Calibri" w:hAnsi="Calibri"/>
          <w:color w:val="000000" w:themeColor="text1"/>
        </w:rPr>
        <w:t>be</w:t>
      </w:r>
      <w:r w:rsidRPr="00A76818">
        <w:rPr>
          <w:rFonts w:ascii="Calibri" w:hAnsi="Calibri"/>
          <w:color w:val="000000" w:themeColor="text1"/>
          <w:spacing w:val="-7"/>
        </w:rPr>
        <w:t xml:space="preserve"> </w:t>
      </w:r>
      <w:r w:rsidRPr="00A76818">
        <w:rPr>
          <w:rFonts w:ascii="Calibri" w:hAnsi="Calibri"/>
          <w:color w:val="000000" w:themeColor="text1"/>
        </w:rPr>
        <w:t>given the opportunity to</w:t>
      </w:r>
      <w:r w:rsidRPr="00A76818">
        <w:rPr>
          <w:rFonts w:ascii="Calibri" w:hAnsi="Calibri"/>
          <w:color w:val="000000" w:themeColor="text1"/>
          <w:spacing w:val="2"/>
        </w:rPr>
        <w:t xml:space="preserve"> </w:t>
      </w:r>
      <w:r w:rsidRPr="00A76818">
        <w:rPr>
          <w:rFonts w:ascii="Calibri" w:hAnsi="Calibri"/>
          <w:color w:val="000000" w:themeColor="text1"/>
        </w:rPr>
        <w:t>choose</w:t>
      </w:r>
      <w:r w:rsidRPr="00A76818">
        <w:rPr>
          <w:rFonts w:ascii="Calibri" w:hAnsi="Calibri"/>
          <w:color w:val="000000" w:themeColor="text1"/>
          <w:spacing w:val="4"/>
        </w:rPr>
        <w:t xml:space="preserve"> </w:t>
      </w:r>
      <w:r w:rsidRPr="00A76818">
        <w:rPr>
          <w:rFonts w:ascii="Calibri" w:hAnsi="Calibri"/>
          <w:color w:val="000000" w:themeColor="text1"/>
        </w:rPr>
        <w:t>the</w:t>
      </w:r>
      <w:r w:rsidRPr="00A76818">
        <w:rPr>
          <w:rFonts w:ascii="Calibri" w:hAnsi="Calibri"/>
          <w:color w:val="000000" w:themeColor="text1"/>
          <w:spacing w:val="-3"/>
        </w:rPr>
        <w:t xml:space="preserve"> </w:t>
      </w:r>
      <w:r w:rsidRPr="00A76818">
        <w:rPr>
          <w:rFonts w:ascii="Calibri" w:hAnsi="Calibri"/>
          <w:color w:val="000000" w:themeColor="text1"/>
        </w:rPr>
        <w:t>type</w:t>
      </w:r>
      <w:r w:rsidRPr="00A76818">
        <w:rPr>
          <w:rFonts w:ascii="Calibri" w:hAnsi="Calibri"/>
          <w:color w:val="000000" w:themeColor="text1"/>
          <w:spacing w:val="8"/>
        </w:rPr>
        <w:t xml:space="preserve"> </w:t>
      </w:r>
      <w:r w:rsidRPr="00A76818">
        <w:rPr>
          <w:rFonts w:ascii="Calibri" w:hAnsi="Calibri"/>
          <w:color w:val="000000" w:themeColor="text1"/>
        </w:rPr>
        <w:t>of</w:t>
      </w:r>
      <w:r w:rsidRPr="00A76818">
        <w:rPr>
          <w:rFonts w:ascii="Calibri" w:hAnsi="Calibri"/>
          <w:color w:val="000000" w:themeColor="text1"/>
          <w:spacing w:val="-1"/>
        </w:rPr>
        <w:t xml:space="preserve"> housing</w:t>
      </w:r>
      <w:r w:rsidRPr="00A76818">
        <w:rPr>
          <w:rFonts w:ascii="Calibri" w:hAnsi="Calibri"/>
          <w:color w:val="000000" w:themeColor="text1"/>
          <w:spacing w:val="-21"/>
        </w:rPr>
        <w:t xml:space="preserve"> </w:t>
      </w:r>
      <w:r w:rsidRPr="00A76818">
        <w:rPr>
          <w:rFonts w:ascii="Calibri" w:hAnsi="Calibri"/>
          <w:color w:val="000000" w:themeColor="text1"/>
        </w:rPr>
        <w:t>they</w:t>
      </w:r>
      <w:r w:rsidRPr="00A76818">
        <w:rPr>
          <w:rFonts w:ascii="Calibri" w:hAnsi="Calibri"/>
          <w:color w:val="000000" w:themeColor="text1"/>
          <w:spacing w:val="9"/>
        </w:rPr>
        <w:t xml:space="preserve"> </w:t>
      </w:r>
      <w:r w:rsidRPr="00A76818">
        <w:rPr>
          <w:rFonts w:ascii="Calibri" w:hAnsi="Calibri"/>
          <w:color w:val="000000" w:themeColor="text1"/>
        </w:rPr>
        <w:t xml:space="preserve">prefer and the location. </w:t>
      </w:r>
    </w:p>
    <w:p w14:paraId="16370861" w14:textId="258AFD5B" w:rsidR="00BC6C26" w:rsidRPr="00A76818" w:rsidRDefault="00387C2D" w:rsidP="000604EE">
      <w:pPr>
        <w:pStyle w:val="ListParagraph"/>
        <w:numPr>
          <w:ilvl w:val="3"/>
          <w:numId w:val="1"/>
        </w:numPr>
        <w:rPr>
          <w:rFonts w:ascii="Calibri" w:hAnsi="Calibri"/>
          <w:color w:val="000000" w:themeColor="text1"/>
        </w:rPr>
      </w:pPr>
      <w:r w:rsidRPr="00A76818">
        <w:rPr>
          <w:rFonts w:ascii="Calibri" w:hAnsi="Calibri"/>
          <w:color w:val="000000" w:themeColor="text1"/>
        </w:rPr>
        <w:t>Households in permanent supportive housing or rapid re-housing</w:t>
      </w:r>
      <w:r w:rsidR="00BC6C26" w:rsidRPr="00A76818">
        <w:rPr>
          <w:rFonts w:ascii="Calibri" w:hAnsi="Calibri"/>
          <w:color w:val="000000" w:themeColor="text1"/>
          <w:spacing w:val="17"/>
        </w:rPr>
        <w:t xml:space="preserve"> </w:t>
      </w:r>
      <w:r w:rsidR="00BC6C26" w:rsidRPr="00A76818">
        <w:rPr>
          <w:rFonts w:ascii="Calibri" w:hAnsi="Calibri"/>
          <w:color w:val="000000" w:themeColor="text1"/>
        </w:rPr>
        <w:t>are</w:t>
      </w:r>
      <w:r w:rsidR="00BC6C26" w:rsidRPr="00A76818">
        <w:rPr>
          <w:rFonts w:ascii="Calibri" w:hAnsi="Calibri"/>
          <w:color w:val="000000" w:themeColor="text1"/>
          <w:spacing w:val="10"/>
        </w:rPr>
        <w:t xml:space="preserve"> </w:t>
      </w:r>
      <w:r w:rsidR="00BC6C26" w:rsidRPr="00A76818">
        <w:rPr>
          <w:rFonts w:ascii="Calibri" w:hAnsi="Calibri"/>
          <w:color w:val="000000" w:themeColor="text1"/>
        </w:rPr>
        <w:t>considered</w:t>
      </w:r>
      <w:r w:rsidR="00BC6C26" w:rsidRPr="00A76818">
        <w:rPr>
          <w:rFonts w:ascii="Calibri" w:hAnsi="Calibri"/>
          <w:color w:val="000000" w:themeColor="text1"/>
          <w:spacing w:val="32"/>
        </w:rPr>
        <w:t xml:space="preserve"> </w:t>
      </w:r>
      <w:r w:rsidR="00BC6C26" w:rsidRPr="00A76818">
        <w:rPr>
          <w:rFonts w:ascii="Calibri" w:hAnsi="Calibri"/>
          <w:color w:val="000000" w:themeColor="text1"/>
        </w:rPr>
        <w:t>tenants</w:t>
      </w:r>
      <w:r w:rsidR="00BC6C26" w:rsidRPr="00A76818">
        <w:rPr>
          <w:rFonts w:ascii="Calibri" w:hAnsi="Calibri"/>
          <w:color w:val="000000" w:themeColor="text1"/>
          <w:spacing w:val="25"/>
        </w:rPr>
        <w:t xml:space="preserve"> </w:t>
      </w:r>
      <w:r w:rsidR="00BC6C26" w:rsidRPr="00A76818">
        <w:rPr>
          <w:rFonts w:ascii="Calibri" w:hAnsi="Calibri"/>
          <w:color w:val="000000" w:themeColor="text1"/>
        </w:rPr>
        <w:t>and</w:t>
      </w:r>
      <w:r w:rsidR="00BC6C26" w:rsidRPr="00A76818">
        <w:rPr>
          <w:rFonts w:ascii="Calibri" w:hAnsi="Calibri"/>
          <w:color w:val="000000" w:themeColor="text1"/>
          <w:spacing w:val="7"/>
        </w:rPr>
        <w:t xml:space="preserve"> </w:t>
      </w:r>
      <w:r w:rsidR="00BC6C26" w:rsidRPr="00A76818">
        <w:rPr>
          <w:rFonts w:ascii="Calibri" w:hAnsi="Calibri"/>
          <w:color w:val="000000" w:themeColor="text1"/>
        </w:rPr>
        <w:t>have</w:t>
      </w:r>
      <w:r w:rsidR="00BC6C26" w:rsidRPr="00A76818">
        <w:rPr>
          <w:rFonts w:ascii="Calibri" w:hAnsi="Calibri"/>
          <w:color w:val="000000" w:themeColor="text1"/>
          <w:spacing w:val="11"/>
        </w:rPr>
        <w:t xml:space="preserve"> </w:t>
      </w:r>
      <w:r w:rsidR="00BC6C26" w:rsidRPr="00A76818">
        <w:rPr>
          <w:rFonts w:ascii="Calibri" w:hAnsi="Calibri"/>
          <w:color w:val="000000" w:themeColor="text1"/>
        </w:rPr>
        <w:t>the</w:t>
      </w:r>
      <w:r w:rsidR="00BC6C26" w:rsidRPr="00A76818">
        <w:rPr>
          <w:rFonts w:ascii="Calibri" w:hAnsi="Calibri"/>
          <w:color w:val="000000" w:themeColor="text1"/>
          <w:spacing w:val="12"/>
        </w:rPr>
        <w:t xml:space="preserve"> </w:t>
      </w:r>
      <w:r w:rsidR="00BC6C26" w:rsidRPr="00A76818">
        <w:rPr>
          <w:rFonts w:ascii="Calibri" w:hAnsi="Calibri"/>
          <w:color w:val="000000" w:themeColor="text1"/>
        </w:rPr>
        <w:t>same rights</w:t>
      </w:r>
      <w:r w:rsidR="00BC6C26" w:rsidRPr="00A76818">
        <w:rPr>
          <w:rFonts w:ascii="Calibri" w:hAnsi="Calibri"/>
          <w:color w:val="000000" w:themeColor="text1"/>
          <w:spacing w:val="21"/>
        </w:rPr>
        <w:t xml:space="preserve"> </w:t>
      </w:r>
      <w:r w:rsidR="00BC6C26" w:rsidRPr="00A76818">
        <w:rPr>
          <w:rFonts w:ascii="Calibri" w:hAnsi="Calibri"/>
          <w:color w:val="000000" w:themeColor="text1"/>
        </w:rPr>
        <w:t>as</w:t>
      </w:r>
      <w:r w:rsidR="00BC6C26" w:rsidRPr="00A76818">
        <w:rPr>
          <w:rFonts w:ascii="Calibri" w:hAnsi="Calibri"/>
          <w:color w:val="000000" w:themeColor="text1"/>
          <w:spacing w:val="10"/>
        </w:rPr>
        <w:t xml:space="preserve"> </w:t>
      </w:r>
      <w:r w:rsidR="00BC6C26" w:rsidRPr="00A76818">
        <w:rPr>
          <w:rFonts w:ascii="Calibri" w:hAnsi="Calibri"/>
          <w:color w:val="000000" w:themeColor="text1"/>
        </w:rPr>
        <w:t>all</w:t>
      </w:r>
      <w:r w:rsidR="00BC6C26" w:rsidRPr="00A76818">
        <w:rPr>
          <w:rFonts w:ascii="Calibri" w:hAnsi="Calibri"/>
          <w:color w:val="000000" w:themeColor="text1"/>
          <w:spacing w:val="9"/>
        </w:rPr>
        <w:t xml:space="preserve"> </w:t>
      </w:r>
      <w:r w:rsidR="00BC6C26" w:rsidRPr="00A76818">
        <w:rPr>
          <w:rFonts w:ascii="Calibri" w:hAnsi="Calibri"/>
          <w:color w:val="000000" w:themeColor="text1"/>
        </w:rPr>
        <w:t xml:space="preserve">tenants. </w:t>
      </w:r>
    </w:p>
    <w:p w14:paraId="2ED93E7E" w14:textId="6E405D6D" w:rsidR="00387C2D" w:rsidRPr="00A76818" w:rsidRDefault="00387C2D"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lastRenderedPageBreak/>
        <w:t xml:space="preserve">Households have the option to refuse to answer questions during the screening and intake processes and still </w:t>
      </w:r>
      <w:r w:rsidR="0029506D" w:rsidRPr="00A76818">
        <w:rPr>
          <w:rFonts w:ascii="Calibri" w:hAnsi="Calibri" w:cs="Calibri"/>
          <w:color w:val="000000" w:themeColor="text1"/>
        </w:rPr>
        <w:t xml:space="preserve">be </w:t>
      </w:r>
      <w:r w:rsidRPr="00A76818">
        <w:rPr>
          <w:rFonts w:ascii="Calibri" w:hAnsi="Calibri" w:cs="Calibri"/>
          <w:color w:val="000000" w:themeColor="text1"/>
        </w:rPr>
        <w:t>eligible to receive services.</w:t>
      </w:r>
    </w:p>
    <w:p w14:paraId="0B347995" w14:textId="04419418" w:rsidR="00BC6C26" w:rsidRPr="00A76818" w:rsidRDefault="00387C2D" w:rsidP="000604EE">
      <w:pPr>
        <w:pStyle w:val="ListParagraph"/>
        <w:numPr>
          <w:ilvl w:val="3"/>
          <w:numId w:val="1"/>
        </w:numPr>
        <w:rPr>
          <w:rFonts w:ascii="Calibri" w:hAnsi="Calibri"/>
          <w:color w:val="000000" w:themeColor="text1"/>
        </w:rPr>
      </w:pPr>
      <w:r w:rsidRPr="00A76818">
        <w:rPr>
          <w:rFonts w:ascii="Calibri" w:hAnsi="Calibri"/>
          <w:color w:val="000000" w:themeColor="text1"/>
        </w:rPr>
        <w:t>Households</w:t>
      </w:r>
      <w:r w:rsidR="00BC6C26" w:rsidRPr="00A76818">
        <w:rPr>
          <w:rFonts w:ascii="Calibri" w:hAnsi="Calibri"/>
          <w:color w:val="000000" w:themeColor="text1"/>
        </w:rPr>
        <w:t xml:space="preserve"> should collaborate with </w:t>
      </w:r>
      <w:r w:rsidRPr="00A76818">
        <w:rPr>
          <w:rFonts w:ascii="Calibri" w:hAnsi="Calibri"/>
          <w:color w:val="000000" w:themeColor="text1"/>
        </w:rPr>
        <w:t>service provider staff</w:t>
      </w:r>
      <w:r w:rsidR="00BC6C26" w:rsidRPr="00A76818">
        <w:rPr>
          <w:rFonts w:ascii="Calibri" w:hAnsi="Calibri"/>
          <w:color w:val="000000" w:themeColor="text1"/>
        </w:rPr>
        <w:t xml:space="preserve"> to fill out the Housing Stability Plan and in all other goal-setting efforts</w:t>
      </w:r>
      <w:r w:rsidR="009A2128" w:rsidRPr="00A76818">
        <w:rPr>
          <w:rFonts w:ascii="Calibri" w:hAnsi="Calibri"/>
          <w:color w:val="000000" w:themeColor="text1"/>
        </w:rPr>
        <w:t>, but completion of the Housing Stability Plan is not required to receive housing or services</w:t>
      </w:r>
      <w:r w:rsidR="00BC6C26" w:rsidRPr="00A76818">
        <w:rPr>
          <w:rFonts w:ascii="Calibri" w:hAnsi="Calibri"/>
          <w:color w:val="000000" w:themeColor="text1"/>
        </w:rPr>
        <w:t xml:space="preserve">. </w:t>
      </w:r>
    </w:p>
    <w:p w14:paraId="62DB0FE5" w14:textId="725E4165" w:rsidR="009D0651" w:rsidRPr="00A76818" w:rsidRDefault="009D0651" w:rsidP="000604EE">
      <w:pPr>
        <w:pStyle w:val="ListParagraph"/>
        <w:numPr>
          <w:ilvl w:val="4"/>
          <w:numId w:val="1"/>
        </w:numPr>
        <w:rPr>
          <w:rFonts w:ascii="Calibri" w:hAnsi="Calibri"/>
          <w:color w:val="000000" w:themeColor="text1"/>
        </w:rPr>
      </w:pPr>
      <w:r w:rsidRPr="00A76818">
        <w:rPr>
          <w:rFonts w:ascii="Calibri" w:hAnsi="Calibri"/>
          <w:color w:val="000000" w:themeColor="text1"/>
        </w:rPr>
        <w:t xml:space="preserve">Please see Definitions (pg. </w:t>
      </w:r>
      <w:r w:rsidR="00E72448">
        <w:rPr>
          <w:rFonts w:ascii="Calibri" w:hAnsi="Calibri"/>
          <w:color w:val="000000" w:themeColor="text1"/>
        </w:rPr>
        <w:t>3</w:t>
      </w:r>
      <w:r w:rsidRPr="00A76818">
        <w:rPr>
          <w:rFonts w:ascii="Calibri" w:hAnsi="Calibri"/>
          <w:color w:val="000000" w:themeColor="text1"/>
        </w:rPr>
        <w:t xml:space="preserve">) for more information about Housing Stability Plans. </w:t>
      </w:r>
    </w:p>
    <w:p w14:paraId="772912C8" w14:textId="77777777" w:rsidR="00BC6C26" w:rsidRPr="00A76818" w:rsidRDefault="00BC6C26"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Cross-Agency Collaboration</w:t>
      </w:r>
    </w:p>
    <w:p w14:paraId="7DC271B2" w14:textId="45FC1B63" w:rsidR="00BC6C26" w:rsidRPr="00A76818" w:rsidRDefault="00387C2D"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 xml:space="preserve">Service providers are encouraged to maintain a strong relationship with the CSCoC in order to build capacity around partnerships necessary to provide adequate services to households. </w:t>
      </w:r>
    </w:p>
    <w:p w14:paraId="2790C15C" w14:textId="064E06F8" w:rsidR="00BC6C26" w:rsidRPr="00A76818" w:rsidRDefault="00BC6C26"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Property</w:t>
      </w:r>
      <w:r w:rsidRPr="00A76818">
        <w:rPr>
          <w:rFonts w:ascii="Calibri" w:hAnsi="Calibri" w:cs="Calibri"/>
          <w:color w:val="000000" w:themeColor="text1"/>
          <w:spacing w:val="-3"/>
        </w:rPr>
        <w:t xml:space="preserve"> </w:t>
      </w:r>
      <w:r w:rsidRPr="00A76818">
        <w:rPr>
          <w:rFonts w:ascii="Calibri" w:hAnsi="Calibri" w:cs="Calibri"/>
          <w:color w:val="000000" w:themeColor="text1"/>
        </w:rPr>
        <w:t>management</w:t>
      </w:r>
      <w:r w:rsidRPr="00A76818">
        <w:rPr>
          <w:rFonts w:ascii="Calibri" w:hAnsi="Calibri" w:cs="Calibri"/>
          <w:color w:val="000000" w:themeColor="text1"/>
          <w:spacing w:val="4"/>
        </w:rPr>
        <w:t xml:space="preserve"> </w:t>
      </w:r>
      <w:r w:rsidRPr="00A76818">
        <w:rPr>
          <w:rFonts w:ascii="Calibri" w:hAnsi="Calibri" w:cs="Calibri"/>
          <w:color w:val="000000" w:themeColor="text1"/>
        </w:rPr>
        <w:t>and</w:t>
      </w:r>
      <w:r w:rsidRPr="00A76818">
        <w:rPr>
          <w:rFonts w:ascii="Calibri" w:hAnsi="Calibri" w:cs="Calibri"/>
          <w:color w:val="000000" w:themeColor="text1"/>
          <w:spacing w:val="-12"/>
        </w:rPr>
        <w:t xml:space="preserve"> </w:t>
      </w:r>
      <w:r w:rsidRPr="00A76818">
        <w:rPr>
          <w:rFonts w:ascii="Calibri" w:hAnsi="Calibri" w:cs="Calibri"/>
          <w:color w:val="000000" w:themeColor="text1"/>
        </w:rPr>
        <w:t>case</w:t>
      </w:r>
      <w:r w:rsidRPr="00A76818">
        <w:rPr>
          <w:rFonts w:ascii="Calibri" w:hAnsi="Calibri" w:cs="Calibri"/>
          <w:color w:val="000000" w:themeColor="text1"/>
          <w:spacing w:val="-2"/>
        </w:rPr>
        <w:t xml:space="preserve"> </w:t>
      </w:r>
      <w:r w:rsidRPr="00A76818">
        <w:rPr>
          <w:rFonts w:ascii="Calibri" w:hAnsi="Calibri" w:cs="Calibri"/>
          <w:color w:val="000000" w:themeColor="text1"/>
        </w:rPr>
        <w:t>management</w:t>
      </w:r>
      <w:r w:rsidRPr="00A76818">
        <w:rPr>
          <w:rFonts w:ascii="Calibri" w:hAnsi="Calibri" w:cs="Calibri"/>
          <w:color w:val="000000" w:themeColor="text1"/>
          <w:spacing w:val="1"/>
        </w:rPr>
        <w:t xml:space="preserve"> </w:t>
      </w:r>
      <w:r w:rsidRPr="00A76818">
        <w:rPr>
          <w:rFonts w:ascii="Calibri" w:hAnsi="Calibri" w:cs="Calibri"/>
          <w:color w:val="000000" w:themeColor="text1"/>
        </w:rPr>
        <w:t>functi</w:t>
      </w:r>
      <w:r w:rsidRPr="00A76818">
        <w:rPr>
          <w:rFonts w:ascii="Calibri" w:hAnsi="Calibri" w:cs="Calibri"/>
          <w:color w:val="000000" w:themeColor="text1"/>
          <w:spacing w:val="1"/>
        </w:rPr>
        <w:t>ons</w:t>
      </w:r>
      <w:r w:rsidRPr="00A76818">
        <w:rPr>
          <w:rFonts w:ascii="Calibri" w:hAnsi="Calibri" w:cs="Calibri"/>
          <w:color w:val="000000" w:themeColor="text1"/>
          <w:spacing w:val="-10"/>
        </w:rPr>
        <w:t xml:space="preserve"> </w:t>
      </w:r>
      <w:r w:rsidRPr="00A76818">
        <w:rPr>
          <w:rFonts w:ascii="Calibri" w:hAnsi="Calibri" w:cs="Calibri"/>
          <w:color w:val="000000" w:themeColor="text1"/>
        </w:rPr>
        <w:t>are</w:t>
      </w:r>
      <w:r w:rsidRPr="00A76818">
        <w:rPr>
          <w:rFonts w:ascii="Calibri" w:hAnsi="Calibri" w:cs="Calibri"/>
          <w:color w:val="000000" w:themeColor="text1"/>
          <w:spacing w:val="-9"/>
        </w:rPr>
        <w:t xml:space="preserve"> </w:t>
      </w:r>
      <w:r w:rsidRPr="00A76818">
        <w:rPr>
          <w:rFonts w:ascii="Calibri" w:hAnsi="Calibri" w:cs="Calibri"/>
          <w:color w:val="000000" w:themeColor="text1"/>
        </w:rPr>
        <w:t>separate</w:t>
      </w:r>
      <w:r w:rsidRPr="00A76818">
        <w:rPr>
          <w:rFonts w:ascii="Calibri" w:hAnsi="Calibri" w:cs="Calibri"/>
          <w:color w:val="000000" w:themeColor="text1"/>
          <w:spacing w:val="-2"/>
        </w:rPr>
        <w:t xml:space="preserve"> </w:t>
      </w:r>
      <w:r w:rsidRPr="00A76818">
        <w:rPr>
          <w:rFonts w:ascii="Calibri" w:hAnsi="Calibri" w:cs="Calibri"/>
          <w:color w:val="000000" w:themeColor="text1"/>
        </w:rPr>
        <w:t>and</w:t>
      </w:r>
      <w:r w:rsidRPr="00A76818">
        <w:rPr>
          <w:rFonts w:ascii="Calibri" w:hAnsi="Calibri" w:cs="Calibri"/>
          <w:color w:val="000000" w:themeColor="text1"/>
          <w:spacing w:val="-10"/>
        </w:rPr>
        <w:t xml:space="preserve"> </w:t>
      </w:r>
      <w:r w:rsidRPr="00A76818">
        <w:rPr>
          <w:rFonts w:ascii="Calibri" w:hAnsi="Calibri" w:cs="Calibri"/>
          <w:color w:val="000000" w:themeColor="text1"/>
          <w:spacing w:val="-1"/>
        </w:rPr>
        <w:t>distinct.</w:t>
      </w:r>
      <w:r w:rsidRPr="00A76818">
        <w:rPr>
          <w:rFonts w:ascii="Calibri" w:hAnsi="Calibri" w:cs="Calibri"/>
          <w:color w:val="000000" w:themeColor="text1"/>
          <w:spacing w:val="25"/>
          <w:w w:val="102"/>
        </w:rPr>
        <w:t xml:space="preserve"> </w:t>
      </w:r>
      <w:r w:rsidRPr="00A76818">
        <w:rPr>
          <w:rFonts w:ascii="Calibri" w:hAnsi="Calibri" w:cs="Calibri"/>
          <w:color w:val="000000" w:themeColor="text1"/>
        </w:rPr>
        <w:t>Ideally,</w:t>
      </w:r>
      <w:r w:rsidRPr="00A76818">
        <w:rPr>
          <w:rFonts w:ascii="Calibri" w:hAnsi="Calibri" w:cs="Calibri"/>
          <w:color w:val="000000" w:themeColor="text1"/>
          <w:spacing w:val="-5"/>
        </w:rPr>
        <w:t xml:space="preserve"> </w:t>
      </w:r>
      <w:r w:rsidRPr="00A76818">
        <w:rPr>
          <w:rFonts w:ascii="Calibri" w:hAnsi="Calibri" w:cs="Calibri"/>
          <w:color w:val="000000" w:themeColor="text1"/>
        </w:rPr>
        <w:t>housing</w:t>
      </w:r>
      <w:r w:rsidRPr="00A76818">
        <w:rPr>
          <w:rFonts w:ascii="Calibri" w:hAnsi="Calibri" w:cs="Calibri"/>
          <w:color w:val="000000" w:themeColor="text1"/>
          <w:spacing w:val="-2"/>
        </w:rPr>
        <w:t xml:space="preserve"> </w:t>
      </w:r>
      <w:r w:rsidRPr="00A76818">
        <w:rPr>
          <w:rFonts w:ascii="Calibri" w:hAnsi="Calibri" w:cs="Calibri"/>
          <w:color w:val="000000" w:themeColor="text1"/>
        </w:rPr>
        <w:t>and</w:t>
      </w:r>
      <w:r w:rsidRPr="00A76818">
        <w:rPr>
          <w:rFonts w:ascii="Calibri" w:hAnsi="Calibri" w:cs="Calibri"/>
          <w:color w:val="000000" w:themeColor="text1"/>
          <w:spacing w:val="-4"/>
        </w:rPr>
        <w:t xml:space="preserve"> </w:t>
      </w:r>
      <w:r w:rsidRPr="00A76818">
        <w:rPr>
          <w:rFonts w:ascii="Calibri" w:hAnsi="Calibri" w:cs="Calibri"/>
          <w:color w:val="000000" w:themeColor="text1"/>
        </w:rPr>
        <w:t>services</w:t>
      </w:r>
      <w:r w:rsidRPr="00A76818">
        <w:rPr>
          <w:rFonts w:ascii="Calibri" w:hAnsi="Calibri" w:cs="Calibri"/>
          <w:color w:val="000000" w:themeColor="text1"/>
          <w:spacing w:val="5"/>
        </w:rPr>
        <w:t xml:space="preserve"> </w:t>
      </w:r>
      <w:r w:rsidRPr="00A76818">
        <w:rPr>
          <w:rFonts w:ascii="Calibri" w:hAnsi="Calibri" w:cs="Calibri"/>
          <w:color w:val="000000" w:themeColor="text1"/>
        </w:rPr>
        <w:t>are</w:t>
      </w:r>
      <w:r w:rsidRPr="00A76818">
        <w:rPr>
          <w:rFonts w:ascii="Calibri" w:hAnsi="Calibri" w:cs="Calibri"/>
          <w:color w:val="000000" w:themeColor="text1"/>
          <w:spacing w:val="2"/>
        </w:rPr>
        <w:t xml:space="preserve"> </w:t>
      </w:r>
      <w:r w:rsidRPr="00A76818">
        <w:rPr>
          <w:rFonts w:ascii="Calibri" w:hAnsi="Calibri" w:cs="Calibri"/>
          <w:color w:val="000000" w:themeColor="text1"/>
          <w:spacing w:val="-1"/>
        </w:rPr>
        <w:t>provided</w:t>
      </w:r>
      <w:r w:rsidRPr="00A76818">
        <w:rPr>
          <w:rFonts w:ascii="Calibri" w:hAnsi="Calibri" w:cs="Calibri"/>
          <w:color w:val="000000" w:themeColor="text1"/>
          <w:spacing w:val="6"/>
        </w:rPr>
        <w:t xml:space="preserve"> </w:t>
      </w:r>
      <w:r w:rsidRPr="00A76818">
        <w:rPr>
          <w:rFonts w:ascii="Calibri" w:hAnsi="Calibri" w:cs="Calibri"/>
          <w:color w:val="000000" w:themeColor="text1"/>
        </w:rPr>
        <w:t>by</w:t>
      </w:r>
      <w:r w:rsidRPr="00A76818">
        <w:rPr>
          <w:rFonts w:ascii="Calibri" w:hAnsi="Calibri" w:cs="Calibri"/>
          <w:color w:val="000000" w:themeColor="text1"/>
          <w:spacing w:val="-7"/>
        </w:rPr>
        <w:t xml:space="preserve"> </w:t>
      </w:r>
      <w:r w:rsidRPr="00A76818">
        <w:rPr>
          <w:rFonts w:ascii="Calibri" w:hAnsi="Calibri" w:cs="Calibri"/>
          <w:color w:val="000000" w:themeColor="text1"/>
        </w:rPr>
        <w:t>separate</w:t>
      </w:r>
      <w:r w:rsidRPr="00A76818">
        <w:rPr>
          <w:rFonts w:ascii="Calibri" w:hAnsi="Calibri" w:cs="Calibri"/>
          <w:color w:val="000000" w:themeColor="text1"/>
          <w:spacing w:val="4"/>
        </w:rPr>
        <w:t xml:space="preserve"> </w:t>
      </w:r>
      <w:r w:rsidRPr="00A76818">
        <w:rPr>
          <w:rFonts w:ascii="Calibri" w:hAnsi="Calibri" w:cs="Calibri"/>
          <w:color w:val="000000" w:themeColor="text1"/>
          <w:spacing w:val="-2"/>
        </w:rPr>
        <w:t>entiti</w:t>
      </w:r>
      <w:r w:rsidRPr="00A76818">
        <w:rPr>
          <w:rFonts w:ascii="Calibri" w:hAnsi="Calibri" w:cs="Calibri"/>
          <w:color w:val="000000" w:themeColor="text1"/>
          <w:spacing w:val="-3"/>
        </w:rPr>
        <w:t>es</w:t>
      </w:r>
      <w:r w:rsidR="00387C2D" w:rsidRPr="00A76818">
        <w:rPr>
          <w:rFonts w:ascii="Calibri" w:hAnsi="Calibri" w:cs="Calibri"/>
          <w:color w:val="000000" w:themeColor="text1"/>
          <w:spacing w:val="-3"/>
        </w:rPr>
        <w:t>, units, or teams</w:t>
      </w:r>
      <w:r w:rsidRPr="00A76818">
        <w:rPr>
          <w:rFonts w:ascii="Calibri" w:hAnsi="Calibri" w:cs="Calibri"/>
          <w:color w:val="000000" w:themeColor="text1"/>
          <w:spacing w:val="-3"/>
        </w:rPr>
        <w:t xml:space="preserve">. </w:t>
      </w:r>
    </w:p>
    <w:p w14:paraId="7756BE76" w14:textId="16609A31" w:rsidR="00BC6C26" w:rsidRPr="00A76818" w:rsidRDefault="00BC6C26"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rPr>
        <w:t xml:space="preserve">All </w:t>
      </w:r>
      <w:r w:rsidR="00387C2D" w:rsidRPr="00A76818">
        <w:rPr>
          <w:rFonts w:ascii="Calibri" w:hAnsi="Calibri" w:cs="Calibri"/>
          <w:color w:val="000000" w:themeColor="text1"/>
        </w:rPr>
        <w:t>households</w:t>
      </w:r>
      <w:r w:rsidRPr="00A76818">
        <w:rPr>
          <w:rFonts w:ascii="Calibri" w:hAnsi="Calibri" w:cs="Calibri"/>
          <w:color w:val="000000" w:themeColor="text1"/>
        </w:rPr>
        <w:t xml:space="preserve"> will be offered</w:t>
      </w:r>
      <w:r w:rsidRPr="00A76818">
        <w:rPr>
          <w:rFonts w:ascii="Calibri" w:hAnsi="Calibri" w:cs="Calibri"/>
          <w:color w:val="000000" w:themeColor="text1"/>
          <w:spacing w:val="11"/>
        </w:rPr>
        <w:t xml:space="preserve"> </w:t>
      </w:r>
      <w:r w:rsidRPr="00A76818">
        <w:rPr>
          <w:rFonts w:ascii="Calibri" w:hAnsi="Calibri" w:cs="Calibri"/>
          <w:color w:val="000000" w:themeColor="text1"/>
        </w:rPr>
        <w:t>referrals</w:t>
      </w:r>
      <w:r w:rsidRPr="00A76818">
        <w:rPr>
          <w:rFonts w:ascii="Calibri" w:hAnsi="Calibri" w:cs="Calibri"/>
          <w:color w:val="000000" w:themeColor="text1"/>
          <w:spacing w:val="27"/>
        </w:rPr>
        <w:t xml:space="preserve"> </w:t>
      </w:r>
      <w:r w:rsidRPr="00A76818">
        <w:rPr>
          <w:rFonts w:ascii="Calibri" w:hAnsi="Calibri" w:cs="Calibri"/>
          <w:color w:val="000000" w:themeColor="text1"/>
        </w:rPr>
        <w:t>to</w:t>
      </w:r>
      <w:r w:rsidRPr="00A76818">
        <w:rPr>
          <w:rFonts w:ascii="Calibri" w:hAnsi="Calibri" w:cs="Calibri"/>
          <w:color w:val="000000" w:themeColor="text1"/>
          <w:spacing w:val="15"/>
        </w:rPr>
        <w:t xml:space="preserve"> </w:t>
      </w:r>
      <w:r w:rsidRPr="00A76818">
        <w:rPr>
          <w:rFonts w:ascii="Calibri" w:hAnsi="Calibri" w:cs="Calibri"/>
          <w:color w:val="000000" w:themeColor="text1"/>
        </w:rPr>
        <w:t>other</w:t>
      </w:r>
      <w:r w:rsidRPr="00A76818">
        <w:rPr>
          <w:rFonts w:ascii="Calibri" w:hAnsi="Calibri" w:cs="Calibri"/>
          <w:color w:val="000000" w:themeColor="text1"/>
          <w:spacing w:val="14"/>
        </w:rPr>
        <w:t xml:space="preserve"> </w:t>
      </w:r>
      <w:r w:rsidR="00387C2D" w:rsidRPr="00A76818">
        <w:rPr>
          <w:rFonts w:ascii="Calibri" w:hAnsi="Calibri" w:cs="Calibri"/>
          <w:color w:val="000000" w:themeColor="text1"/>
        </w:rPr>
        <w:t>service providers</w:t>
      </w:r>
      <w:r w:rsidRPr="00A76818">
        <w:rPr>
          <w:rFonts w:ascii="Calibri" w:hAnsi="Calibri" w:cs="Calibri"/>
          <w:color w:val="000000" w:themeColor="text1"/>
        </w:rPr>
        <w:t xml:space="preserve"> as necessary</w:t>
      </w:r>
      <w:r w:rsidR="00387C2D" w:rsidRPr="00A76818">
        <w:rPr>
          <w:rFonts w:ascii="Calibri" w:hAnsi="Calibri" w:cs="Calibri"/>
          <w:color w:val="000000" w:themeColor="text1"/>
        </w:rPr>
        <w:t xml:space="preserve">. </w:t>
      </w:r>
    </w:p>
    <w:p w14:paraId="4715CFCF" w14:textId="77777777" w:rsidR="0003027D" w:rsidRPr="00A76818" w:rsidRDefault="00BC6C26" w:rsidP="000604EE">
      <w:pPr>
        <w:pStyle w:val="ListParagraph"/>
        <w:numPr>
          <w:ilvl w:val="2"/>
          <w:numId w:val="1"/>
        </w:numPr>
        <w:rPr>
          <w:rFonts w:ascii="Calibri" w:hAnsi="Calibri"/>
          <w:color w:val="000000" w:themeColor="text1"/>
        </w:rPr>
      </w:pPr>
      <w:r w:rsidRPr="00A76818">
        <w:rPr>
          <w:rFonts w:ascii="Calibri" w:hAnsi="Calibri"/>
          <w:color w:val="000000" w:themeColor="text1"/>
        </w:rPr>
        <w:t xml:space="preserve">Evidence-Based Practices </w:t>
      </w:r>
    </w:p>
    <w:p w14:paraId="7F460B40" w14:textId="500A3873" w:rsidR="00BC6C26" w:rsidRPr="00A76818" w:rsidRDefault="00387C2D" w:rsidP="000604EE">
      <w:pPr>
        <w:pStyle w:val="ListParagraph"/>
        <w:numPr>
          <w:ilvl w:val="3"/>
          <w:numId w:val="1"/>
        </w:numPr>
        <w:rPr>
          <w:rFonts w:ascii="Calibri" w:hAnsi="Calibri"/>
          <w:color w:val="000000" w:themeColor="text1"/>
        </w:rPr>
      </w:pPr>
      <w:r w:rsidRPr="00A76818">
        <w:rPr>
          <w:rFonts w:ascii="Calibri" w:hAnsi="Calibri" w:cs="Calibri"/>
          <w:color w:val="000000" w:themeColor="text1"/>
        </w:rPr>
        <w:t>Service provider staff</w:t>
      </w:r>
      <w:r w:rsidR="0003027D" w:rsidRPr="00A76818">
        <w:rPr>
          <w:rFonts w:ascii="Calibri" w:hAnsi="Calibri" w:cs="Calibri"/>
          <w:color w:val="000000" w:themeColor="text1"/>
        </w:rPr>
        <w:t xml:space="preserve"> </w:t>
      </w:r>
      <w:r w:rsidR="00BC6C26" w:rsidRPr="00A76818">
        <w:rPr>
          <w:rFonts w:ascii="Calibri" w:hAnsi="Calibri" w:cs="Calibri"/>
          <w:color w:val="000000" w:themeColor="text1"/>
        </w:rPr>
        <w:t xml:space="preserve">actively employ </w:t>
      </w:r>
      <w:r w:rsidR="009A2128" w:rsidRPr="00A76818">
        <w:rPr>
          <w:rFonts w:ascii="Calibri" w:hAnsi="Calibri" w:cs="Calibri"/>
          <w:color w:val="000000" w:themeColor="text1"/>
        </w:rPr>
        <w:t>evidence-based</w:t>
      </w:r>
      <w:r w:rsidR="0003027D" w:rsidRPr="00A76818">
        <w:rPr>
          <w:rFonts w:ascii="Calibri" w:hAnsi="Calibri" w:cs="Calibri"/>
          <w:color w:val="000000" w:themeColor="text1"/>
        </w:rPr>
        <w:t xml:space="preserve"> </w:t>
      </w:r>
      <w:r w:rsidR="00BC6C26" w:rsidRPr="00A76818">
        <w:rPr>
          <w:rFonts w:ascii="Calibri" w:hAnsi="Calibri" w:cs="Calibri"/>
          <w:color w:val="000000" w:themeColor="text1"/>
        </w:rPr>
        <w:t>practices</w:t>
      </w:r>
      <w:r w:rsidRPr="00A76818">
        <w:rPr>
          <w:rFonts w:ascii="Calibri" w:hAnsi="Calibri" w:cs="Calibri"/>
          <w:color w:val="000000" w:themeColor="text1"/>
        </w:rPr>
        <w:t xml:space="preserve"> in interactions with households</w:t>
      </w:r>
      <w:r w:rsidR="00BC6C26" w:rsidRPr="00A76818">
        <w:rPr>
          <w:rFonts w:ascii="Calibri" w:hAnsi="Calibri" w:cs="Calibri"/>
          <w:color w:val="000000" w:themeColor="text1"/>
        </w:rPr>
        <w:t xml:space="preserve">, including </w:t>
      </w:r>
      <w:r w:rsidR="0003027D" w:rsidRPr="00A76818">
        <w:rPr>
          <w:rFonts w:ascii="Calibri" w:hAnsi="Calibri" w:cs="Calibri"/>
          <w:color w:val="000000" w:themeColor="text1"/>
        </w:rPr>
        <w:t>p</w:t>
      </w:r>
      <w:r w:rsidR="00BC6C26" w:rsidRPr="00A76818">
        <w:rPr>
          <w:rFonts w:ascii="Calibri" w:hAnsi="Calibri" w:cs="Calibri"/>
          <w:color w:val="000000" w:themeColor="text1"/>
        </w:rPr>
        <w:t xml:space="preserve">rogressive </w:t>
      </w:r>
      <w:r w:rsidR="0003027D" w:rsidRPr="00A76818">
        <w:rPr>
          <w:rFonts w:ascii="Calibri" w:hAnsi="Calibri" w:cs="Calibri"/>
          <w:color w:val="000000" w:themeColor="text1"/>
        </w:rPr>
        <w:t>e</w:t>
      </w:r>
      <w:r w:rsidR="00BC6C26" w:rsidRPr="00A76818">
        <w:rPr>
          <w:rFonts w:ascii="Calibri" w:hAnsi="Calibri" w:cs="Calibri"/>
          <w:color w:val="000000" w:themeColor="text1"/>
        </w:rPr>
        <w:t>ngagement</w:t>
      </w:r>
      <w:r w:rsidRPr="00A76818">
        <w:rPr>
          <w:rFonts w:ascii="Calibri" w:hAnsi="Calibri" w:cs="Calibri"/>
          <w:color w:val="000000" w:themeColor="text1"/>
        </w:rPr>
        <w:t>.</w:t>
      </w:r>
    </w:p>
    <w:p w14:paraId="3D2A8FC9" w14:textId="0DF16741" w:rsidR="00BC6C26" w:rsidRPr="00A76818" w:rsidRDefault="00387C2D" w:rsidP="000604EE">
      <w:pPr>
        <w:pStyle w:val="ListParagraph"/>
        <w:numPr>
          <w:ilvl w:val="3"/>
          <w:numId w:val="1"/>
        </w:numPr>
        <w:rPr>
          <w:rFonts w:ascii="Calibri" w:hAnsi="Calibri"/>
          <w:color w:val="000000" w:themeColor="text1"/>
        </w:rPr>
      </w:pPr>
      <w:r w:rsidRPr="00A76818">
        <w:rPr>
          <w:rFonts w:ascii="Calibri" w:hAnsi="Calibri"/>
          <w:color w:val="000000" w:themeColor="text1"/>
          <w:shd w:val="clear" w:color="auto" w:fill="FFFFFF"/>
        </w:rPr>
        <w:t>Service providers will focus on connecting households to</w:t>
      </w:r>
      <w:r w:rsidR="00BC6C26" w:rsidRPr="00A76818">
        <w:rPr>
          <w:rFonts w:ascii="Calibri" w:hAnsi="Calibri"/>
          <w:color w:val="000000" w:themeColor="text1"/>
          <w:shd w:val="clear" w:color="auto" w:fill="FFFFFF"/>
        </w:rPr>
        <w:t xml:space="preserve"> preventative health care rather than emergency room visits and hospital inpatient days</w:t>
      </w:r>
      <w:r w:rsidRPr="00A76818">
        <w:rPr>
          <w:rFonts w:ascii="Calibri" w:hAnsi="Calibri"/>
          <w:color w:val="000000" w:themeColor="text1"/>
          <w:shd w:val="clear" w:color="auto" w:fill="FFFFFF"/>
        </w:rPr>
        <w:t xml:space="preserve">, </w:t>
      </w:r>
      <w:r w:rsidR="00BC6C26" w:rsidRPr="00A76818">
        <w:rPr>
          <w:rFonts w:ascii="Calibri" w:hAnsi="Calibri"/>
          <w:color w:val="000000" w:themeColor="text1"/>
          <w:shd w:val="clear" w:color="auto" w:fill="FFFFFF"/>
        </w:rPr>
        <w:t>leading to over-all health and well</w:t>
      </w:r>
      <w:r w:rsidRPr="00A76818">
        <w:rPr>
          <w:rFonts w:ascii="Calibri" w:hAnsi="Calibri"/>
          <w:color w:val="000000" w:themeColor="text1"/>
          <w:shd w:val="clear" w:color="auto" w:fill="FFFFFF"/>
        </w:rPr>
        <w:t>-</w:t>
      </w:r>
      <w:r w:rsidR="00BC6C26" w:rsidRPr="00A76818">
        <w:rPr>
          <w:rFonts w:ascii="Calibri" w:hAnsi="Calibri"/>
          <w:color w:val="000000" w:themeColor="text1"/>
          <w:shd w:val="clear" w:color="auto" w:fill="FFFFFF"/>
        </w:rPr>
        <w:t>being</w:t>
      </w:r>
      <w:r w:rsidRPr="00A76818">
        <w:rPr>
          <w:rFonts w:ascii="Calibri" w:hAnsi="Calibri"/>
          <w:color w:val="000000" w:themeColor="text1"/>
          <w:shd w:val="clear" w:color="auto" w:fill="FFFFFF"/>
        </w:rPr>
        <w:t>.</w:t>
      </w:r>
    </w:p>
    <w:p w14:paraId="148D8473" w14:textId="467EF840" w:rsidR="009A2128" w:rsidRPr="00A76818" w:rsidRDefault="00387C2D" w:rsidP="000604EE">
      <w:pPr>
        <w:pStyle w:val="ListParagraph"/>
        <w:numPr>
          <w:ilvl w:val="3"/>
          <w:numId w:val="1"/>
        </w:numPr>
        <w:rPr>
          <w:rFonts w:ascii="Calibri" w:hAnsi="Calibri"/>
          <w:color w:val="000000" w:themeColor="text1"/>
        </w:rPr>
      </w:pPr>
      <w:r w:rsidRPr="00A76818">
        <w:rPr>
          <w:rFonts w:ascii="Calibri" w:hAnsi="Calibri"/>
          <w:color w:val="000000" w:themeColor="text1"/>
        </w:rPr>
        <w:t xml:space="preserve">Service providers will </w:t>
      </w:r>
      <w:r w:rsidR="0003027D" w:rsidRPr="00A76818">
        <w:rPr>
          <w:rFonts w:ascii="Calibri" w:hAnsi="Calibri"/>
          <w:color w:val="000000" w:themeColor="text1"/>
        </w:rPr>
        <w:t>connect clients to</w:t>
      </w:r>
      <w:r w:rsidRPr="00A76818">
        <w:rPr>
          <w:rFonts w:ascii="Calibri" w:hAnsi="Calibri"/>
          <w:color w:val="000000" w:themeColor="text1"/>
        </w:rPr>
        <w:t xml:space="preserve"> s</w:t>
      </w:r>
      <w:r w:rsidR="00BC6C26" w:rsidRPr="00A76818">
        <w:rPr>
          <w:rFonts w:ascii="Calibri" w:hAnsi="Calibri"/>
          <w:color w:val="000000" w:themeColor="text1"/>
        </w:rPr>
        <w:t>upportive</w:t>
      </w:r>
      <w:r w:rsidR="00BC6C26" w:rsidRPr="00A76818">
        <w:rPr>
          <w:rFonts w:ascii="Calibri" w:hAnsi="Calibri"/>
          <w:color w:val="000000" w:themeColor="text1"/>
          <w:spacing w:val="19"/>
        </w:rPr>
        <w:t xml:space="preserve"> </w:t>
      </w:r>
      <w:r w:rsidR="00BC6C26" w:rsidRPr="00A76818">
        <w:rPr>
          <w:rFonts w:ascii="Calibri" w:hAnsi="Calibri"/>
          <w:color w:val="000000" w:themeColor="text1"/>
        </w:rPr>
        <w:t>services</w:t>
      </w:r>
      <w:r w:rsidR="00BC6C26" w:rsidRPr="00A76818">
        <w:rPr>
          <w:rFonts w:ascii="Calibri" w:hAnsi="Calibri"/>
          <w:color w:val="000000" w:themeColor="text1"/>
          <w:spacing w:val="17"/>
        </w:rPr>
        <w:t xml:space="preserve"> </w:t>
      </w:r>
      <w:r w:rsidRPr="00A76818">
        <w:rPr>
          <w:rFonts w:ascii="Calibri" w:hAnsi="Calibri" w:cs="Calibri"/>
          <w:color w:val="000000" w:themeColor="text1"/>
        </w:rPr>
        <w:t>that</w:t>
      </w:r>
      <w:r w:rsidRPr="00A76818">
        <w:rPr>
          <w:rFonts w:ascii="Calibri" w:hAnsi="Calibri" w:cs="Calibri"/>
          <w:color w:val="000000" w:themeColor="text1"/>
          <w:spacing w:val="17"/>
        </w:rPr>
        <w:t xml:space="preserve"> </w:t>
      </w:r>
      <w:r w:rsidR="00BC6C26" w:rsidRPr="00A76818">
        <w:rPr>
          <w:rFonts w:ascii="Calibri" w:hAnsi="Calibri"/>
          <w:color w:val="000000" w:themeColor="text1"/>
        </w:rPr>
        <w:t>emphasiz</w:t>
      </w:r>
      <w:r w:rsidRPr="00A76818">
        <w:rPr>
          <w:rFonts w:ascii="Calibri" w:hAnsi="Calibri"/>
          <w:color w:val="000000" w:themeColor="text1"/>
        </w:rPr>
        <w:t>e</w:t>
      </w:r>
      <w:r w:rsidR="00BC6C26" w:rsidRPr="00A76818">
        <w:rPr>
          <w:rFonts w:ascii="Calibri" w:hAnsi="Calibri"/>
          <w:color w:val="000000" w:themeColor="text1"/>
          <w:spacing w:val="34"/>
        </w:rPr>
        <w:t xml:space="preserve"> </w:t>
      </w:r>
      <w:r w:rsidR="00BC6C26" w:rsidRPr="00A76818">
        <w:rPr>
          <w:rFonts w:ascii="Calibri" w:hAnsi="Calibri"/>
          <w:color w:val="000000" w:themeColor="text1"/>
        </w:rPr>
        <w:t>engagement</w:t>
      </w:r>
      <w:r w:rsidR="00BC6C26" w:rsidRPr="00A76818">
        <w:rPr>
          <w:rFonts w:ascii="Calibri" w:hAnsi="Calibri"/>
          <w:color w:val="000000" w:themeColor="text1"/>
          <w:spacing w:val="28"/>
        </w:rPr>
        <w:t xml:space="preserve"> </w:t>
      </w:r>
      <w:r w:rsidR="00BC6C26" w:rsidRPr="00A76818">
        <w:rPr>
          <w:rFonts w:ascii="Calibri" w:hAnsi="Calibri"/>
          <w:color w:val="000000" w:themeColor="text1"/>
        </w:rPr>
        <w:t>and</w:t>
      </w:r>
      <w:r w:rsidR="00BC6C26" w:rsidRPr="00A76818">
        <w:rPr>
          <w:rFonts w:ascii="Calibri" w:hAnsi="Calibri"/>
          <w:color w:val="000000" w:themeColor="text1"/>
          <w:spacing w:val="15"/>
        </w:rPr>
        <w:t xml:space="preserve"> </w:t>
      </w:r>
      <w:r w:rsidR="00BC6C26" w:rsidRPr="00A76818">
        <w:rPr>
          <w:rFonts w:ascii="Calibri" w:hAnsi="Calibri"/>
          <w:color w:val="000000" w:themeColor="text1"/>
        </w:rPr>
        <w:t>problem</w:t>
      </w:r>
      <w:r w:rsidR="00BC6C26" w:rsidRPr="00A76818">
        <w:rPr>
          <w:rFonts w:ascii="Calibri" w:hAnsi="Calibri"/>
          <w:color w:val="000000" w:themeColor="text1"/>
          <w:spacing w:val="34"/>
        </w:rPr>
        <w:t xml:space="preserve"> </w:t>
      </w:r>
      <w:r w:rsidR="00BC6C26" w:rsidRPr="00A76818">
        <w:rPr>
          <w:rFonts w:ascii="Calibri" w:hAnsi="Calibri"/>
          <w:color w:val="000000" w:themeColor="text1"/>
        </w:rPr>
        <w:t>solving</w:t>
      </w:r>
      <w:r w:rsidR="00BC6C26" w:rsidRPr="00A76818">
        <w:rPr>
          <w:rFonts w:ascii="Calibri" w:hAnsi="Calibri"/>
          <w:color w:val="000000" w:themeColor="text1"/>
          <w:spacing w:val="11"/>
        </w:rPr>
        <w:t xml:space="preserve"> </w:t>
      </w:r>
      <w:r w:rsidR="00BC6C26" w:rsidRPr="00A76818">
        <w:rPr>
          <w:rFonts w:ascii="Calibri" w:hAnsi="Calibri"/>
          <w:color w:val="000000" w:themeColor="text1"/>
        </w:rPr>
        <w:t>over therapeutic</w:t>
      </w:r>
      <w:r w:rsidR="00BC6C26" w:rsidRPr="00A76818">
        <w:rPr>
          <w:rFonts w:ascii="Calibri" w:hAnsi="Calibri"/>
          <w:color w:val="000000" w:themeColor="text1"/>
          <w:spacing w:val="43"/>
        </w:rPr>
        <w:t xml:space="preserve"> </w:t>
      </w:r>
      <w:r w:rsidR="00BC6C26" w:rsidRPr="00A76818">
        <w:rPr>
          <w:rFonts w:ascii="Calibri" w:hAnsi="Calibri"/>
          <w:color w:val="000000" w:themeColor="text1"/>
        </w:rPr>
        <w:t>goals</w:t>
      </w:r>
      <w:r w:rsidRPr="00A76818">
        <w:rPr>
          <w:rFonts w:ascii="Calibri" w:hAnsi="Calibri"/>
          <w:color w:val="000000" w:themeColor="text1"/>
        </w:rPr>
        <w:t xml:space="preserve">. </w:t>
      </w:r>
    </w:p>
    <w:p w14:paraId="6902F84B" w14:textId="71B62BEE" w:rsidR="009A2128" w:rsidRPr="00A00978" w:rsidRDefault="00387C2D" w:rsidP="000604EE">
      <w:pPr>
        <w:pStyle w:val="ListParagraph"/>
        <w:numPr>
          <w:ilvl w:val="3"/>
          <w:numId w:val="1"/>
        </w:numPr>
        <w:rPr>
          <w:rFonts w:ascii="Calibri" w:hAnsi="Calibri"/>
          <w:color w:val="000000" w:themeColor="text1"/>
        </w:rPr>
      </w:pPr>
      <w:r w:rsidRPr="00A76818">
        <w:rPr>
          <w:rFonts w:ascii="Calibri" w:hAnsi="Calibri" w:cs="Arial"/>
          <w:color w:val="000000" w:themeColor="text1"/>
          <w:shd w:val="clear" w:color="auto" w:fill="FFFFFF"/>
        </w:rPr>
        <w:t>All s</w:t>
      </w:r>
      <w:r w:rsidR="009A2128" w:rsidRPr="00A76818">
        <w:rPr>
          <w:rFonts w:ascii="Calibri" w:hAnsi="Calibri" w:cs="Arial"/>
          <w:color w:val="000000" w:themeColor="text1"/>
          <w:shd w:val="clear" w:color="auto" w:fill="FFFFFF"/>
        </w:rPr>
        <w:t>ervices are informed by a harm-reduction philosophy that recognizes drug and alcohol use and addiction as a part of</w:t>
      </w:r>
      <w:r w:rsidRPr="00A76818">
        <w:rPr>
          <w:rFonts w:ascii="Calibri" w:hAnsi="Calibri" w:cs="Arial"/>
          <w:color w:val="000000" w:themeColor="text1"/>
          <w:shd w:val="clear" w:color="auto" w:fill="FFFFFF"/>
        </w:rPr>
        <w:t xml:space="preserve"> households’</w:t>
      </w:r>
      <w:r w:rsidR="009A2128" w:rsidRPr="00A76818">
        <w:rPr>
          <w:rFonts w:ascii="Calibri" w:hAnsi="Calibri" w:cs="Arial"/>
          <w:color w:val="000000" w:themeColor="text1"/>
          <w:shd w:val="clear" w:color="auto" w:fill="FFFFFF"/>
        </w:rPr>
        <w:t xml:space="preserve"> lives</w:t>
      </w:r>
      <w:r w:rsidRPr="00A76818">
        <w:rPr>
          <w:rFonts w:ascii="Calibri" w:hAnsi="Calibri" w:cs="Arial"/>
          <w:color w:val="000000" w:themeColor="text1"/>
          <w:shd w:val="clear" w:color="auto" w:fill="FFFFFF"/>
        </w:rPr>
        <w:t xml:space="preserve">. Service providers will engage households </w:t>
      </w:r>
      <w:r w:rsidR="009A2128" w:rsidRPr="00A76818">
        <w:rPr>
          <w:rFonts w:ascii="Calibri" w:hAnsi="Calibri" w:cs="Arial"/>
          <w:color w:val="000000" w:themeColor="text1"/>
          <w:shd w:val="clear" w:color="auto" w:fill="FFFFFF"/>
        </w:rPr>
        <w:t>in nonjudgmental communication regarding drug and alcohol use</w:t>
      </w:r>
      <w:r w:rsidR="0003027D" w:rsidRPr="00A76818">
        <w:rPr>
          <w:rFonts w:ascii="Calibri" w:hAnsi="Calibri" w:cs="Arial"/>
          <w:color w:val="000000" w:themeColor="text1"/>
          <w:shd w:val="clear" w:color="auto" w:fill="FFFFFF"/>
        </w:rPr>
        <w:t xml:space="preserve"> and </w:t>
      </w:r>
      <w:r w:rsidRPr="00A76818">
        <w:rPr>
          <w:rFonts w:ascii="Calibri" w:hAnsi="Calibri" w:cs="Arial"/>
          <w:color w:val="000000" w:themeColor="text1"/>
          <w:shd w:val="clear" w:color="auto" w:fill="FFFFFF"/>
        </w:rPr>
        <w:t xml:space="preserve">offer </w:t>
      </w:r>
      <w:r w:rsidR="009A2128" w:rsidRPr="00A76818">
        <w:rPr>
          <w:rFonts w:ascii="Calibri" w:hAnsi="Calibri" w:cs="Arial"/>
          <w:color w:val="000000" w:themeColor="text1"/>
          <w:shd w:val="clear" w:color="auto" w:fill="FFFFFF"/>
        </w:rPr>
        <w:t>education</w:t>
      </w:r>
      <w:r w:rsidR="0003027D" w:rsidRPr="00A76818">
        <w:rPr>
          <w:rFonts w:ascii="Calibri" w:hAnsi="Calibri" w:cs="Arial"/>
          <w:color w:val="000000" w:themeColor="text1"/>
          <w:shd w:val="clear" w:color="auto" w:fill="FFFFFF"/>
        </w:rPr>
        <w:t xml:space="preserve">al opportunities on </w:t>
      </w:r>
      <w:r w:rsidR="009A2128" w:rsidRPr="00A76818">
        <w:rPr>
          <w:rFonts w:ascii="Calibri" w:hAnsi="Calibri" w:cs="Arial"/>
          <w:color w:val="000000" w:themeColor="text1"/>
          <w:shd w:val="clear" w:color="auto" w:fill="FFFFFF"/>
        </w:rPr>
        <w:t>how to avoid risky behaviors and engage in safer practices, as well as connect</w:t>
      </w:r>
      <w:r w:rsidRPr="00A76818">
        <w:rPr>
          <w:rFonts w:ascii="Calibri" w:hAnsi="Calibri" w:cs="Arial"/>
          <w:color w:val="000000" w:themeColor="text1"/>
          <w:shd w:val="clear" w:color="auto" w:fill="FFFFFF"/>
        </w:rPr>
        <w:t>ions</w:t>
      </w:r>
      <w:r w:rsidR="009A2128" w:rsidRPr="00A76818">
        <w:rPr>
          <w:rFonts w:ascii="Calibri" w:hAnsi="Calibri" w:cs="Arial"/>
          <w:color w:val="000000" w:themeColor="text1"/>
          <w:shd w:val="clear" w:color="auto" w:fill="FFFFFF"/>
        </w:rPr>
        <w:t xml:space="preserve"> to evidence-based treatment if the </w:t>
      </w:r>
      <w:r w:rsidRPr="00A76818">
        <w:rPr>
          <w:rFonts w:ascii="Calibri" w:hAnsi="Calibri" w:cs="Arial"/>
          <w:color w:val="000000" w:themeColor="text1"/>
          <w:shd w:val="clear" w:color="auto" w:fill="FFFFFF"/>
        </w:rPr>
        <w:t>household</w:t>
      </w:r>
      <w:r w:rsidR="009A2128" w:rsidRPr="00A76818">
        <w:rPr>
          <w:rFonts w:ascii="Calibri" w:hAnsi="Calibri" w:cs="Arial"/>
          <w:color w:val="000000" w:themeColor="text1"/>
          <w:shd w:val="clear" w:color="auto" w:fill="FFFFFF"/>
        </w:rPr>
        <w:t xml:space="preserve"> so chooses.</w:t>
      </w:r>
    </w:p>
    <w:p w14:paraId="74C04B4F" w14:textId="7AA5817C" w:rsidR="00A00978" w:rsidRPr="00A00978" w:rsidRDefault="00A00978" w:rsidP="00A00978">
      <w:pPr>
        <w:pStyle w:val="ListParagraph"/>
        <w:numPr>
          <w:ilvl w:val="4"/>
          <w:numId w:val="1"/>
        </w:numPr>
        <w:rPr>
          <w:rFonts w:ascii="Calibri" w:hAnsi="Calibri" w:cs="Calibri"/>
          <w:color w:val="000000" w:themeColor="text1"/>
        </w:rPr>
      </w:pPr>
      <w:r w:rsidRPr="00A00978">
        <w:rPr>
          <w:rFonts w:ascii="Calibri" w:hAnsi="Calibri" w:cs="Calibri"/>
        </w:rPr>
        <w:t>Please note, a majority of CSCoC service providers are state of California mandated reporters.</w:t>
      </w:r>
      <w:r w:rsidRPr="00A00978">
        <w:rPr>
          <w:rStyle w:val="FootnoteReference"/>
          <w:rFonts w:ascii="Calibri" w:hAnsi="Calibri" w:cs="Calibri"/>
        </w:rPr>
        <w:footnoteReference w:id="7"/>
      </w:r>
      <w:r w:rsidRPr="00A00978">
        <w:rPr>
          <w:rFonts w:ascii="Calibri" w:hAnsi="Calibri" w:cs="Calibri"/>
        </w:rPr>
        <w:t xml:space="preserve"> Mandated reporters are required, by law, to report all known or suspected cases of child abuse or neglect, including a caregiver’s use of a controlled substance that impairs the</w:t>
      </w:r>
      <w:r>
        <w:rPr>
          <w:rFonts w:ascii="Calibri" w:hAnsi="Calibri" w:cs="Calibri"/>
        </w:rPr>
        <w:t>ir</w:t>
      </w:r>
      <w:r w:rsidRPr="00A00978">
        <w:rPr>
          <w:rFonts w:ascii="Calibri" w:hAnsi="Calibri" w:cs="Calibri"/>
        </w:rPr>
        <w:t xml:space="preserve"> ability to adequately care for the</w:t>
      </w:r>
      <w:r>
        <w:rPr>
          <w:rFonts w:ascii="Calibri" w:hAnsi="Calibri" w:cs="Calibri"/>
        </w:rPr>
        <w:t>ir</w:t>
      </w:r>
      <w:r w:rsidRPr="00A00978">
        <w:rPr>
          <w:rFonts w:ascii="Calibri" w:hAnsi="Calibri" w:cs="Calibri"/>
        </w:rPr>
        <w:t xml:space="preserve"> child. </w:t>
      </w:r>
    </w:p>
    <w:p w14:paraId="7C5AED29" w14:textId="0BC812AE" w:rsidR="00BF2C40" w:rsidRDefault="00BF2C40" w:rsidP="000604EE">
      <w:pPr>
        <w:pStyle w:val="ListParagraph"/>
        <w:ind w:left="2160"/>
        <w:rPr>
          <w:rFonts w:ascii="Calibri" w:hAnsi="Calibri"/>
          <w:color w:val="000000" w:themeColor="text1"/>
        </w:rPr>
      </w:pPr>
    </w:p>
    <w:p w14:paraId="57B564CE" w14:textId="77777777" w:rsidR="00BF2C40" w:rsidRPr="0058586C" w:rsidRDefault="00BF2C40" w:rsidP="000604EE">
      <w:pPr>
        <w:pStyle w:val="Heading2"/>
        <w:numPr>
          <w:ilvl w:val="0"/>
          <w:numId w:val="1"/>
        </w:numPr>
        <w:spacing w:before="0" w:line="240" w:lineRule="auto"/>
        <w:contextualSpacing/>
        <w:rPr>
          <w:color w:val="0070C0"/>
        </w:rPr>
      </w:pPr>
      <w:bookmarkStart w:id="130" w:name="_Toc124255039"/>
      <w:r w:rsidRPr="0058586C">
        <w:rPr>
          <w:color w:val="0070C0"/>
        </w:rPr>
        <w:t>Progressive Engagement</w:t>
      </w:r>
      <w:bookmarkEnd w:id="130"/>
    </w:p>
    <w:p w14:paraId="2E5E103F" w14:textId="77777777" w:rsidR="0003027D" w:rsidRPr="00A76818" w:rsidRDefault="00BF2C40" w:rsidP="000604EE">
      <w:pPr>
        <w:pStyle w:val="ListParagraph"/>
        <w:numPr>
          <w:ilvl w:val="1"/>
          <w:numId w:val="1"/>
        </w:numPr>
        <w:rPr>
          <w:rFonts w:ascii="Calibri" w:hAnsi="Calibri" w:cs="Calibri"/>
          <w:color w:val="000000" w:themeColor="text1"/>
        </w:rPr>
      </w:pPr>
      <w:r w:rsidRPr="00A76818">
        <w:rPr>
          <w:rFonts w:ascii="Calibri" w:hAnsi="Calibri" w:cs="Calibri"/>
          <w:color w:val="000000" w:themeColor="text1"/>
        </w:rPr>
        <w:t xml:space="preserve">Introduction </w:t>
      </w:r>
    </w:p>
    <w:p w14:paraId="376FFDC7" w14:textId="77777777" w:rsidR="0003027D" w:rsidRPr="00A76818" w:rsidRDefault="00BF2C40"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lastRenderedPageBreak/>
        <w:t xml:space="preserve">As a nationally recognized best practice, the CSCoC will address homelessness through </w:t>
      </w:r>
      <w:r w:rsidR="0003027D" w:rsidRPr="00A76818">
        <w:rPr>
          <w:rFonts w:ascii="Calibri" w:hAnsi="Calibri" w:cs="Calibri"/>
          <w:color w:val="000000" w:themeColor="text1"/>
        </w:rPr>
        <w:t>p</w:t>
      </w:r>
      <w:r w:rsidRPr="00A76818">
        <w:rPr>
          <w:rFonts w:ascii="Calibri" w:hAnsi="Calibri" w:cs="Calibri"/>
          <w:color w:val="000000" w:themeColor="text1"/>
        </w:rPr>
        <w:t xml:space="preserve">rogressive </w:t>
      </w:r>
      <w:r w:rsidR="0003027D" w:rsidRPr="00A76818">
        <w:rPr>
          <w:rFonts w:ascii="Calibri" w:hAnsi="Calibri" w:cs="Calibri"/>
          <w:color w:val="000000" w:themeColor="text1"/>
        </w:rPr>
        <w:t>e</w:t>
      </w:r>
      <w:r w:rsidRPr="00A76818">
        <w:rPr>
          <w:rFonts w:ascii="Calibri" w:hAnsi="Calibri" w:cs="Calibri"/>
          <w:color w:val="000000" w:themeColor="text1"/>
        </w:rPr>
        <w:t>ngagement by creating customized levels of assistance to individuals and families to preserve the most expensive interventions for household with the most severe barriers to housing success.</w:t>
      </w:r>
    </w:p>
    <w:p w14:paraId="47538573" w14:textId="19530B9B" w:rsidR="009D0651" w:rsidRPr="00A76818" w:rsidRDefault="0003027D"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 xml:space="preserve">The </w:t>
      </w:r>
      <w:r w:rsidR="009D0651" w:rsidRPr="00A76818">
        <w:rPr>
          <w:rFonts w:ascii="Calibri" w:hAnsi="Calibri" w:cs="Calibri"/>
          <w:color w:val="000000" w:themeColor="text1"/>
        </w:rPr>
        <w:t>CS</w:t>
      </w:r>
      <w:r w:rsidRPr="00A76818">
        <w:rPr>
          <w:rFonts w:ascii="Calibri" w:hAnsi="Calibri" w:cs="Calibri"/>
          <w:color w:val="000000" w:themeColor="text1"/>
        </w:rPr>
        <w:t>CoC’s practice of progressive engagement helps households end their homelessness as rapidly as possible, despite barriers, with financial assistance and support resources. More supports are applied to those households who struggle to stabilize</w:t>
      </w:r>
      <w:r w:rsidR="000C7D2E" w:rsidRPr="00A76818">
        <w:rPr>
          <w:rFonts w:ascii="Calibri" w:hAnsi="Calibri" w:cs="Calibri"/>
          <w:color w:val="000000" w:themeColor="text1"/>
        </w:rPr>
        <w:t xml:space="preserve">. </w:t>
      </w:r>
    </w:p>
    <w:p w14:paraId="0E16BA72" w14:textId="36C93DE0" w:rsidR="009D0651" w:rsidRPr="00A76818" w:rsidRDefault="009D0651"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These written standards for progressive engagement have been developed in conjunction with ESG/CoC service providers and other service providers across the community for maximum local input on the practice of progressive engagement, written standards, performance measures and the process for full implementation of the standards throughout the CSCoC in all programs including emergency shelter (ES), permanent supportive housing (PSH), rapid re­housing (RRH), and homeless prevention (HP) programs</w:t>
      </w:r>
      <w:r w:rsidR="000C7D2E" w:rsidRPr="00A76818">
        <w:rPr>
          <w:rFonts w:ascii="Calibri" w:hAnsi="Calibri" w:cs="Calibri"/>
          <w:color w:val="000000" w:themeColor="text1"/>
        </w:rPr>
        <w:t xml:space="preserve">. </w:t>
      </w:r>
    </w:p>
    <w:p w14:paraId="7CB36FAC" w14:textId="67BB0209" w:rsidR="00BF2C40" w:rsidRPr="00A76818" w:rsidRDefault="00BF2C40" w:rsidP="000604EE">
      <w:pPr>
        <w:pStyle w:val="ListParagraph"/>
        <w:numPr>
          <w:ilvl w:val="1"/>
          <w:numId w:val="1"/>
        </w:numPr>
        <w:rPr>
          <w:rFonts w:ascii="Calibri" w:hAnsi="Calibri" w:cs="Calibri"/>
          <w:color w:val="000000" w:themeColor="text1"/>
        </w:rPr>
      </w:pPr>
      <w:r w:rsidRPr="00A76818">
        <w:rPr>
          <w:rFonts w:ascii="Calibri" w:hAnsi="Calibri" w:cs="Calibri"/>
          <w:color w:val="000000" w:themeColor="text1"/>
        </w:rPr>
        <w:t>Service Goals</w:t>
      </w:r>
    </w:p>
    <w:p w14:paraId="6D5F602F" w14:textId="4BB4BE44" w:rsidR="009D0651" w:rsidRPr="00A76818" w:rsidRDefault="009D0651"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 xml:space="preserve">Service providers will work to rapidly households to stable housing. </w:t>
      </w:r>
    </w:p>
    <w:p w14:paraId="7EF9E488" w14:textId="337F0F26" w:rsidR="009D0651" w:rsidRPr="00A76818" w:rsidRDefault="009D0651"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Service providers will assess each clients’ housing background to be able to assist and not refuse assistance.</w:t>
      </w:r>
    </w:p>
    <w:p w14:paraId="53C1202E" w14:textId="4FAC1647" w:rsidR="009D0651" w:rsidRPr="00A76818" w:rsidRDefault="009D0651"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 xml:space="preserve">Service providers will link clients to other resources in the community, as necessary. </w:t>
      </w:r>
    </w:p>
    <w:p w14:paraId="32FC5868" w14:textId="2DCEB060" w:rsidR="009D0651" w:rsidRPr="00A76818" w:rsidRDefault="009D0651"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 xml:space="preserve">All eligible households will be provided a small amount of assistance to start, in order to appropriately gauge the need of households and maximize resources. </w:t>
      </w:r>
    </w:p>
    <w:p w14:paraId="15D86381" w14:textId="36BE097F" w:rsidR="009D0651" w:rsidRPr="00A76818" w:rsidRDefault="009D0651"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Service providers will add more assistance overtime for households with the greatest need.</w:t>
      </w:r>
    </w:p>
    <w:p w14:paraId="296DF78C" w14:textId="03ABC37E" w:rsidR="009D0651" w:rsidRPr="00A76818" w:rsidRDefault="009D0651"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Service providers will identify households with the most severe barriers to housing success.</w:t>
      </w:r>
    </w:p>
    <w:p w14:paraId="5BD53EFC" w14:textId="432148D8" w:rsidR="00BF2C40" w:rsidRPr="00A76818" w:rsidRDefault="00056520" w:rsidP="000604EE">
      <w:pPr>
        <w:pStyle w:val="ListParagraph"/>
        <w:numPr>
          <w:ilvl w:val="1"/>
          <w:numId w:val="1"/>
        </w:numPr>
        <w:rPr>
          <w:rFonts w:ascii="Calibri" w:hAnsi="Calibri"/>
          <w:color w:val="000000" w:themeColor="text1"/>
        </w:rPr>
      </w:pPr>
      <w:r w:rsidRPr="00A76818">
        <w:rPr>
          <w:rFonts w:ascii="Calibri" w:hAnsi="Calibri" w:cs="Calibri"/>
          <w:color w:val="000000" w:themeColor="text1"/>
        </w:rPr>
        <w:t>Program Model</w:t>
      </w:r>
    </w:p>
    <w:p w14:paraId="76AF619B" w14:textId="7EB2CD62" w:rsidR="00BF2C40" w:rsidRPr="00A76818" w:rsidRDefault="00BF2C40"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 xml:space="preserve">Assessment is a critical first step. Each </w:t>
      </w:r>
      <w:r w:rsidR="00056520" w:rsidRPr="00A76818">
        <w:rPr>
          <w:rFonts w:ascii="Calibri" w:hAnsi="Calibri" w:cs="Calibri"/>
          <w:color w:val="000000" w:themeColor="text1"/>
        </w:rPr>
        <w:t xml:space="preserve">service </w:t>
      </w:r>
      <w:r w:rsidRPr="00A76818">
        <w:rPr>
          <w:rFonts w:ascii="Calibri" w:hAnsi="Calibri" w:cs="Calibri"/>
          <w:color w:val="000000" w:themeColor="text1"/>
        </w:rPr>
        <w:t xml:space="preserve">provider </w:t>
      </w:r>
      <w:r w:rsidR="00056520" w:rsidRPr="00A76818">
        <w:rPr>
          <w:rFonts w:ascii="Calibri" w:hAnsi="Calibri" w:cs="Calibri"/>
          <w:color w:val="000000" w:themeColor="text1"/>
        </w:rPr>
        <w:t xml:space="preserve">adequate </w:t>
      </w:r>
      <w:r w:rsidRPr="00A76818">
        <w:rPr>
          <w:rFonts w:ascii="Calibri" w:hAnsi="Calibri" w:cs="Calibri"/>
          <w:color w:val="000000" w:themeColor="text1"/>
        </w:rPr>
        <w:t xml:space="preserve">needs knowledge of </w:t>
      </w:r>
      <w:r w:rsidR="00056520" w:rsidRPr="00A76818">
        <w:rPr>
          <w:rFonts w:ascii="Calibri" w:hAnsi="Calibri" w:cs="Calibri"/>
          <w:color w:val="000000" w:themeColor="text1"/>
        </w:rPr>
        <w:t>each household’s</w:t>
      </w:r>
      <w:r w:rsidRPr="00A76818">
        <w:rPr>
          <w:rFonts w:ascii="Calibri" w:hAnsi="Calibri" w:cs="Calibri"/>
          <w:color w:val="000000" w:themeColor="text1"/>
        </w:rPr>
        <w:t xml:space="preserve"> relevant history, as well as their current plans and desires, in order to best match the resources to the </w:t>
      </w:r>
      <w:r w:rsidR="00056520" w:rsidRPr="00A76818">
        <w:rPr>
          <w:rFonts w:ascii="Calibri" w:hAnsi="Calibri" w:cs="Calibri"/>
          <w:color w:val="000000" w:themeColor="text1"/>
        </w:rPr>
        <w:t>household</w:t>
      </w:r>
      <w:r w:rsidRPr="00A76818">
        <w:rPr>
          <w:rFonts w:ascii="Calibri" w:hAnsi="Calibri" w:cs="Calibri"/>
          <w:color w:val="000000" w:themeColor="text1"/>
        </w:rPr>
        <w:t>.</w:t>
      </w:r>
    </w:p>
    <w:p w14:paraId="53B02C17" w14:textId="3FB73627" w:rsidR="00056520" w:rsidRPr="00A76818" w:rsidRDefault="00056520"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Every</w:t>
      </w:r>
      <w:r w:rsidRPr="00A76818">
        <w:rPr>
          <w:rFonts w:ascii="Calibri" w:hAnsi="Calibri" w:cs="Calibri"/>
          <w:color w:val="000000" w:themeColor="text1"/>
          <w:spacing w:val="19"/>
        </w:rPr>
        <w:t xml:space="preserve"> </w:t>
      </w:r>
      <w:r w:rsidRPr="00A76818">
        <w:rPr>
          <w:rFonts w:ascii="Calibri" w:hAnsi="Calibri" w:cs="Calibri"/>
          <w:color w:val="000000" w:themeColor="text1"/>
        </w:rPr>
        <w:t>household is</w:t>
      </w:r>
      <w:r w:rsidRPr="00A76818">
        <w:rPr>
          <w:rFonts w:ascii="Calibri" w:hAnsi="Calibri" w:cs="Calibri"/>
          <w:color w:val="000000" w:themeColor="text1"/>
          <w:spacing w:val="2"/>
        </w:rPr>
        <w:t xml:space="preserve"> </w:t>
      </w:r>
      <w:r w:rsidRPr="00A76818">
        <w:rPr>
          <w:rFonts w:ascii="Calibri" w:hAnsi="Calibri" w:cs="Calibri"/>
          <w:color w:val="000000" w:themeColor="text1"/>
        </w:rPr>
        <w:t>offered</w:t>
      </w:r>
      <w:r w:rsidRPr="00A76818">
        <w:rPr>
          <w:rFonts w:ascii="Calibri" w:hAnsi="Calibri" w:cs="Calibri"/>
          <w:color w:val="000000" w:themeColor="text1"/>
          <w:spacing w:val="16"/>
        </w:rPr>
        <w:t xml:space="preserve"> </w:t>
      </w:r>
      <w:r w:rsidRPr="00A76818">
        <w:rPr>
          <w:rFonts w:ascii="Calibri" w:hAnsi="Calibri" w:cs="Calibri"/>
          <w:color w:val="000000" w:themeColor="text1"/>
        </w:rPr>
        <w:t>the</w:t>
      </w:r>
      <w:r w:rsidRPr="00A76818">
        <w:rPr>
          <w:rFonts w:ascii="Calibri" w:hAnsi="Calibri" w:cs="Calibri"/>
          <w:color w:val="000000" w:themeColor="text1"/>
          <w:spacing w:val="17"/>
        </w:rPr>
        <w:t xml:space="preserve"> </w:t>
      </w:r>
      <w:r w:rsidRPr="00A76818">
        <w:rPr>
          <w:rFonts w:ascii="Calibri" w:hAnsi="Calibri" w:cs="Calibri"/>
          <w:color w:val="000000" w:themeColor="text1"/>
        </w:rPr>
        <w:t>same</w:t>
      </w:r>
      <w:r w:rsidRPr="00A76818">
        <w:rPr>
          <w:rFonts w:ascii="Calibri" w:hAnsi="Calibri" w:cs="Calibri"/>
          <w:color w:val="000000" w:themeColor="text1"/>
          <w:spacing w:val="5"/>
        </w:rPr>
        <w:t xml:space="preserve"> </w:t>
      </w:r>
      <w:r w:rsidRPr="00A76818">
        <w:rPr>
          <w:rFonts w:ascii="Calibri" w:hAnsi="Calibri" w:cs="Calibri"/>
          <w:color w:val="000000" w:themeColor="text1"/>
        </w:rPr>
        <w:t>initial</w:t>
      </w:r>
      <w:r w:rsidRPr="00A76818">
        <w:rPr>
          <w:rFonts w:ascii="Calibri" w:hAnsi="Calibri" w:cs="Calibri"/>
          <w:color w:val="000000" w:themeColor="text1"/>
          <w:spacing w:val="14"/>
        </w:rPr>
        <w:t xml:space="preserve"> </w:t>
      </w:r>
      <w:r w:rsidRPr="00A76818">
        <w:rPr>
          <w:rFonts w:ascii="Calibri" w:hAnsi="Calibri" w:cs="Calibri"/>
          <w:color w:val="000000" w:themeColor="text1"/>
        </w:rPr>
        <w:t>package:</w:t>
      </w:r>
      <w:r w:rsidRPr="00A76818">
        <w:rPr>
          <w:rFonts w:ascii="Calibri" w:hAnsi="Calibri" w:cs="Calibri"/>
          <w:color w:val="000000" w:themeColor="text1"/>
          <w:spacing w:val="23"/>
        </w:rPr>
        <w:t xml:space="preserve"> </w:t>
      </w:r>
      <w:r w:rsidRPr="00A76818">
        <w:rPr>
          <w:rFonts w:ascii="Calibri" w:hAnsi="Calibri" w:cs="Calibri"/>
          <w:color w:val="000000" w:themeColor="text1"/>
        </w:rPr>
        <w:t>housing</w:t>
      </w:r>
      <w:r w:rsidRPr="00A76818">
        <w:rPr>
          <w:rFonts w:ascii="Calibri" w:hAnsi="Calibri" w:cs="Calibri"/>
          <w:color w:val="000000" w:themeColor="text1"/>
          <w:spacing w:val="28"/>
        </w:rPr>
        <w:t xml:space="preserve"> </w:t>
      </w:r>
      <w:r w:rsidRPr="00A76818">
        <w:rPr>
          <w:rFonts w:ascii="Calibri" w:hAnsi="Calibri" w:cs="Calibri"/>
          <w:color w:val="000000" w:themeColor="text1"/>
        </w:rPr>
        <w:t>location</w:t>
      </w:r>
      <w:r w:rsidRPr="00A76818">
        <w:rPr>
          <w:rFonts w:ascii="Calibri" w:hAnsi="Calibri" w:cs="Calibri"/>
          <w:color w:val="000000" w:themeColor="text1"/>
          <w:spacing w:val="22"/>
        </w:rPr>
        <w:t xml:space="preserve"> </w:t>
      </w:r>
      <w:r w:rsidRPr="00A76818">
        <w:rPr>
          <w:rFonts w:ascii="Calibri" w:hAnsi="Calibri" w:cs="Calibri"/>
          <w:color w:val="000000" w:themeColor="text1"/>
        </w:rPr>
        <w:t>assistance,</w:t>
      </w:r>
      <w:r w:rsidRPr="00A76818">
        <w:rPr>
          <w:rFonts w:ascii="Calibri" w:hAnsi="Calibri" w:cs="Calibri"/>
          <w:color w:val="000000" w:themeColor="text1"/>
          <w:w w:val="101"/>
        </w:rPr>
        <w:t xml:space="preserve"> </w:t>
      </w:r>
      <w:r w:rsidRPr="00A76818">
        <w:rPr>
          <w:rFonts w:ascii="Calibri" w:hAnsi="Calibri" w:cs="Calibri"/>
          <w:color w:val="000000" w:themeColor="text1"/>
        </w:rPr>
        <w:t>barrier</w:t>
      </w:r>
      <w:r w:rsidRPr="00A76818">
        <w:rPr>
          <w:rFonts w:ascii="Calibri" w:hAnsi="Calibri" w:cs="Calibri"/>
          <w:color w:val="000000" w:themeColor="text1"/>
          <w:spacing w:val="19"/>
        </w:rPr>
        <w:t xml:space="preserve"> </w:t>
      </w:r>
      <w:r w:rsidRPr="00A76818">
        <w:rPr>
          <w:rFonts w:ascii="Calibri" w:hAnsi="Calibri" w:cs="Calibri"/>
          <w:color w:val="000000" w:themeColor="text1"/>
        </w:rPr>
        <w:t>debt</w:t>
      </w:r>
      <w:r w:rsidRPr="00A76818">
        <w:rPr>
          <w:rFonts w:ascii="Calibri" w:hAnsi="Calibri" w:cs="Calibri"/>
          <w:color w:val="000000" w:themeColor="text1"/>
          <w:spacing w:val="17"/>
        </w:rPr>
        <w:t xml:space="preserve"> </w:t>
      </w:r>
      <w:r w:rsidRPr="00A76818">
        <w:rPr>
          <w:rFonts w:ascii="Calibri" w:hAnsi="Calibri" w:cs="Calibri"/>
          <w:color w:val="000000" w:themeColor="text1"/>
        </w:rPr>
        <w:t>elimination,</w:t>
      </w:r>
      <w:r w:rsidRPr="00A76818">
        <w:rPr>
          <w:rFonts w:ascii="Calibri" w:hAnsi="Calibri" w:cs="Calibri"/>
          <w:color w:val="000000" w:themeColor="text1"/>
          <w:spacing w:val="18"/>
        </w:rPr>
        <w:t xml:space="preserve"> </w:t>
      </w:r>
      <w:r w:rsidRPr="00A76818">
        <w:rPr>
          <w:rFonts w:ascii="Calibri" w:hAnsi="Calibri" w:cs="Calibri"/>
          <w:color w:val="000000" w:themeColor="text1"/>
        </w:rPr>
        <w:t>move</w:t>
      </w:r>
      <w:r w:rsidRPr="00A76818">
        <w:rPr>
          <w:rFonts w:ascii="Calibri" w:hAnsi="Calibri" w:cs="Calibri"/>
          <w:color w:val="000000" w:themeColor="text1"/>
          <w:spacing w:val="13"/>
        </w:rPr>
        <w:t xml:space="preserve"> </w:t>
      </w:r>
      <w:r w:rsidRPr="00A76818">
        <w:rPr>
          <w:rFonts w:ascii="Calibri" w:hAnsi="Calibri" w:cs="Calibri"/>
          <w:color w:val="000000" w:themeColor="text1"/>
        </w:rPr>
        <w:t>in,</w:t>
      </w:r>
      <w:r w:rsidRPr="00A76818">
        <w:rPr>
          <w:rFonts w:ascii="Calibri" w:hAnsi="Calibri" w:cs="Calibri"/>
          <w:color w:val="000000" w:themeColor="text1"/>
          <w:spacing w:val="10"/>
        </w:rPr>
        <w:t xml:space="preserve"> </w:t>
      </w:r>
      <w:r w:rsidRPr="00A76818">
        <w:rPr>
          <w:rFonts w:ascii="Calibri" w:hAnsi="Calibri" w:cs="Calibri"/>
          <w:color w:val="000000" w:themeColor="text1"/>
        </w:rPr>
        <w:t>and</w:t>
      </w:r>
      <w:r w:rsidRPr="00A76818">
        <w:rPr>
          <w:rFonts w:ascii="Calibri" w:hAnsi="Calibri" w:cs="Calibri"/>
          <w:color w:val="000000" w:themeColor="text1"/>
          <w:spacing w:val="14"/>
        </w:rPr>
        <w:t xml:space="preserve"> </w:t>
      </w:r>
      <w:r w:rsidRPr="00A76818">
        <w:rPr>
          <w:rFonts w:ascii="Calibri" w:hAnsi="Calibri" w:cs="Calibri"/>
          <w:color w:val="000000" w:themeColor="text1"/>
        </w:rPr>
        <w:t>rental</w:t>
      </w:r>
      <w:r w:rsidRPr="00A76818">
        <w:rPr>
          <w:rFonts w:ascii="Calibri" w:hAnsi="Calibri" w:cs="Calibri"/>
          <w:color w:val="000000" w:themeColor="text1"/>
          <w:spacing w:val="32"/>
        </w:rPr>
        <w:t xml:space="preserve"> </w:t>
      </w:r>
      <w:r w:rsidRPr="00A76818">
        <w:rPr>
          <w:rFonts w:ascii="Calibri" w:hAnsi="Calibri" w:cs="Calibri"/>
          <w:color w:val="000000" w:themeColor="text1"/>
        </w:rPr>
        <w:t xml:space="preserve">assistance. </w:t>
      </w:r>
    </w:p>
    <w:p w14:paraId="6071A714" w14:textId="012A6D4F" w:rsidR="00BF2C40" w:rsidRPr="00A76818" w:rsidRDefault="00056520"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Service providers will p</w:t>
      </w:r>
      <w:r w:rsidR="00BF2C40" w:rsidRPr="00A76818">
        <w:rPr>
          <w:rFonts w:ascii="Calibri" w:hAnsi="Calibri" w:cs="Calibri"/>
          <w:color w:val="000000" w:themeColor="text1"/>
        </w:rPr>
        <w:t>artner</w:t>
      </w:r>
      <w:r w:rsidR="00BF2C40" w:rsidRPr="00A76818">
        <w:rPr>
          <w:rFonts w:ascii="Calibri" w:hAnsi="Calibri" w:cs="Calibri"/>
          <w:color w:val="000000" w:themeColor="text1"/>
          <w:spacing w:val="17"/>
        </w:rPr>
        <w:t xml:space="preserve"> </w:t>
      </w:r>
      <w:r w:rsidR="00BF2C40" w:rsidRPr="00A76818">
        <w:rPr>
          <w:rFonts w:ascii="Calibri" w:hAnsi="Calibri" w:cs="Calibri"/>
          <w:color w:val="000000" w:themeColor="text1"/>
        </w:rPr>
        <w:t>with</w:t>
      </w:r>
      <w:r w:rsidR="00BF2C40" w:rsidRPr="00A76818">
        <w:rPr>
          <w:rFonts w:ascii="Calibri" w:hAnsi="Calibri" w:cs="Calibri"/>
          <w:color w:val="000000" w:themeColor="text1"/>
          <w:spacing w:val="16"/>
        </w:rPr>
        <w:t xml:space="preserve"> </w:t>
      </w:r>
      <w:r w:rsidRPr="00A76818">
        <w:rPr>
          <w:rFonts w:ascii="Calibri" w:hAnsi="Calibri" w:cs="Calibri"/>
          <w:color w:val="000000" w:themeColor="text1"/>
        </w:rPr>
        <w:t>households</w:t>
      </w:r>
      <w:r w:rsidR="00BF2C40" w:rsidRPr="00A76818">
        <w:rPr>
          <w:rFonts w:ascii="Calibri" w:hAnsi="Calibri" w:cs="Calibri"/>
          <w:color w:val="000000" w:themeColor="text1"/>
          <w:spacing w:val="11"/>
        </w:rPr>
        <w:t xml:space="preserve"> </w:t>
      </w:r>
      <w:r w:rsidR="00BF2C40" w:rsidRPr="00A76818">
        <w:rPr>
          <w:rFonts w:ascii="Calibri" w:hAnsi="Calibri" w:cs="Calibri"/>
          <w:color w:val="000000" w:themeColor="text1"/>
        </w:rPr>
        <w:t>to</w:t>
      </w:r>
      <w:r w:rsidR="00BF2C40" w:rsidRPr="00A76818">
        <w:rPr>
          <w:rFonts w:ascii="Calibri" w:hAnsi="Calibri" w:cs="Calibri"/>
          <w:color w:val="000000" w:themeColor="text1"/>
          <w:spacing w:val="7"/>
        </w:rPr>
        <w:t xml:space="preserve"> </w:t>
      </w:r>
      <w:r w:rsidR="00BF2C40" w:rsidRPr="00A76818">
        <w:rPr>
          <w:rFonts w:ascii="Calibri" w:hAnsi="Calibri" w:cs="Calibri"/>
          <w:color w:val="000000" w:themeColor="text1"/>
        </w:rPr>
        <w:t>make</w:t>
      </w:r>
      <w:r w:rsidR="00BF2C40" w:rsidRPr="00A76818">
        <w:rPr>
          <w:rFonts w:ascii="Calibri" w:hAnsi="Calibri" w:cs="Calibri"/>
          <w:color w:val="000000" w:themeColor="text1"/>
          <w:spacing w:val="21"/>
        </w:rPr>
        <w:t xml:space="preserve"> </w:t>
      </w:r>
      <w:r w:rsidR="00BF2C40" w:rsidRPr="00A76818">
        <w:rPr>
          <w:rFonts w:ascii="Calibri" w:hAnsi="Calibri" w:cs="Calibri"/>
          <w:color w:val="000000" w:themeColor="text1"/>
        </w:rPr>
        <w:t>a</w:t>
      </w:r>
      <w:r w:rsidR="00BF2C40" w:rsidRPr="00A76818">
        <w:rPr>
          <w:rFonts w:ascii="Calibri" w:hAnsi="Calibri" w:cs="Calibri"/>
          <w:color w:val="000000" w:themeColor="text1"/>
          <w:spacing w:val="-5"/>
        </w:rPr>
        <w:t xml:space="preserve"> </w:t>
      </w:r>
      <w:r w:rsidR="00BF2C40" w:rsidRPr="00A76818">
        <w:rPr>
          <w:rFonts w:ascii="Calibri" w:hAnsi="Calibri" w:cs="Calibri"/>
          <w:color w:val="000000" w:themeColor="text1"/>
        </w:rPr>
        <w:t>realistic</w:t>
      </w:r>
      <w:r w:rsidR="00BF2C40" w:rsidRPr="00A76818">
        <w:rPr>
          <w:rFonts w:ascii="Calibri" w:hAnsi="Calibri" w:cs="Calibri"/>
          <w:color w:val="000000" w:themeColor="text1"/>
          <w:spacing w:val="9"/>
        </w:rPr>
        <w:t xml:space="preserve"> </w:t>
      </w:r>
      <w:r w:rsidR="00BF2C40" w:rsidRPr="00A76818">
        <w:rPr>
          <w:rFonts w:ascii="Calibri" w:hAnsi="Calibri" w:cs="Calibri"/>
          <w:color w:val="000000" w:themeColor="text1"/>
        </w:rPr>
        <w:t>plan</w:t>
      </w:r>
      <w:r w:rsidR="00BF2C40" w:rsidRPr="00A76818">
        <w:rPr>
          <w:rFonts w:ascii="Calibri" w:hAnsi="Calibri" w:cs="Calibri"/>
          <w:color w:val="000000" w:themeColor="text1"/>
          <w:spacing w:val="19"/>
        </w:rPr>
        <w:t xml:space="preserve"> </w:t>
      </w:r>
      <w:r w:rsidR="00BF2C40" w:rsidRPr="00A76818">
        <w:rPr>
          <w:rFonts w:ascii="Calibri" w:hAnsi="Calibri" w:cs="Calibri"/>
          <w:color w:val="000000" w:themeColor="text1"/>
        </w:rPr>
        <w:t>for</w:t>
      </w:r>
      <w:r w:rsidR="00BF2C40" w:rsidRPr="00A76818">
        <w:rPr>
          <w:rFonts w:ascii="Calibri" w:hAnsi="Calibri" w:cs="Calibri"/>
          <w:color w:val="000000" w:themeColor="text1"/>
          <w:spacing w:val="6"/>
        </w:rPr>
        <w:t xml:space="preserve"> </w:t>
      </w:r>
      <w:r w:rsidR="00BF2C40" w:rsidRPr="00A76818">
        <w:rPr>
          <w:rFonts w:ascii="Calibri" w:hAnsi="Calibri" w:cs="Calibri"/>
          <w:color w:val="000000" w:themeColor="text1"/>
        </w:rPr>
        <w:t>current</w:t>
      </w:r>
      <w:r w:rsidR="00BF2C40" w:rsidRPr="00A76818">
        <w:rPr>
          <w:rFonts w:ascii="Calibri" w:hAnsi="Calibri" w:cs="Calibri"/>
          <w:color w:val="000000" w:themeColor="text1"/>
          <w:spacing w:val="24"/>
        </w:rPr>
        <w:t xml:space="preserve"> </w:t>
      </w:r>
      <w:r w:rsidR="00BF2C40" w:rsidRPr="00A76818">
        <w:rPr>
          <w:rFonts w:ascii="Calibri" w:hAnsi="Calibri" w:cs="Calibri"/>
          <w:color w:val="000000" w:themeColor="text1"/>
        </w:rPr>
        <w:t>and</w:t>
      </w:r>
      <w:r w:rsidR="00BF2C40" w:rsidRPr="00A76818">
        <w:rPr>
          <w:rFonts w:ascii="Calibri" w:hAnsi="Calibri" w:cs="Calibri"/>
          <w:color w:val="000000" w:themeColor="text1"/>
          <w:w w:val="98"/>
        </w:rPr>
        <w:t xml:space="preserve"> </w:t>
      </w:r>
      <w:r w:rsidR="00BF2C40" w:rsidRPr="00A76818">
        <w:rPr>
          <w:rFonts w:ascii="Calibri" w:hAnsi="Calibri" w:cs="Calibri"/>
          <w:color w:val="000000" w:themeColor="text1"/>
        </w:rPr>
        <w:t>future</w:t>
      </w:r>
      <w:r w:rsidR="00BF2C40" w:rsidRPr="00A76818">
        <w:rPr>
          <w:rFonts w:ascii="Calibri" w:hAnsi="Calibri" w:cs="Calibri"/>
          <w:color w:val="000000" w:themeColor="text1"/>
          <w:spacing w:val="15"/>
        </w:rPr>
        <w:t xml:space="preserve"> </w:t>
      </w:r>
      <w:r w:rsidR="00BF2C40" w:rsidRPr="00A76818">
        <w:rPr>
          <w:rFonts w:ascii="Calibri" w:hAnsi="Calibri" w:cs="Calibri"/>
          <w:color w:val="000000" w:themeColor="text1"/>
        </w:rPr>
        <w:t>housing</w:t>
      </w:r>
      <w:r w:rsidR="00BF2C40" w:rsidRPr="00A76818">
        <w:rPr>
          <w:rFonts w:ascii="Calibri" w:hAnsi="Calibri" w:cs="Calibri"/>
          <w:color w:val="000000" w:themeColor="text1"/>
          <w:spacing w:val="34"/>
        </w:rPr>
        <w:t xml:space="preserve"> </w:t>
      </w:r>
      <w:r w:rsidR="00BF2C40" w:rsidRPr="00A76818">
        <w:rPr>
          <w:rFonts w:ascii="Calibri" w:hAnsi="Calibri" w:cs="Calibri"/>
          <w:color w:val="000000" w:themeColor="text1"/>
        </w:rPr>
        <w:t>stabilization.</w:t>
      </w:r>
    </w:p>
    <w:p w14:paraId="51DC026D" w14:textId="45CE8834" w:rsidR="00BF2C40" w:rsidRPr="00A76818" w:rsidRDefault="00056520"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Service providers will u</w:t>
      </w:r>
      <w:r w:rsidR="00BF2C40" w:rsidRPr="00A76818">
        <w:rPr>
          <w:rFonts w:ascii="Calibri" w:hAnsi="Calibri" w:cs="Calibri"/>
          <w:color w:val="000000" w:themeColor="text1"/>
        </w:rPr>
        <w:t>se</w:t>
      </w:r>
      <w:r w:rsidR="00BF2C40" w:rsidRPr="00A76818">
        <w:rPr>
          <w:rFonts w:ascii="Calibri" w:hAnsi="Calibri" w:cs="Calibri"/>
          <w:color w:val="000000" w:themeColor="text1"/>
          <w:spacing w:val="7"/>
        </w:rPr>
        <w:t xml:space="preserve"> </w:t>
      </w:r>
      <w:r w:rsidR="00BF2C40" w:rsidRPr="00A76818">
        <w:rPr>
          <w:rFonts w:ascii="Calibri" w:hAnsi="Calibri" w:cs="Calibri"/>
          <w:color w:val="000000" w:themeColor="text1"/>
        </w:rPr>
        <w:t>different</w:t>
      </w:r>
      <w:r w:rsidR="00BF2C40" w:rsidRPr="00A76818">
        <w:rPr>
          <w:rFonts w:ascii="Calibri" w:hAnsi="Calibri" w:cs="Calibri"/>
          <w:color w:val="000000" w:themeColor="text1"/>
          <w:spacing w:val="21"/>
        </w:rPr>
        <w:t xml:space="preserve"> </w:t>
      </w:r>
      <w:r w:rsidR="00BF2C40" w:rsidRPr="00A76818">
        <w:rPr>
          <w:rFonts w:ascii="Calibri" w:hAnsi="Calibri" w:cs="Calibri"/>
          <w:color w:val="000000" w:themeColor="text1"/>
        </w:rPr>
        <w:t>resources</w:t>
      </w:r>
      <w:r w:rsidR="00BF2C40" w:rsidRPr="00A76818">
        <w:rPr>
          <w:rFonts w:ascii="Calibri" w:hAnsi="Calibri" w:cs="Calibri"/>
          <w:color w:val="000000" w:themeColor="text1"/>
          <w:spacing w:val="19"/>
        </w:rPr>
        <w:t xml:space="preserve"> </w:t>
      </w:r>
      <w:r w:rsidR="00BF2C40" w:rsidRPr="00A76818">
        <w:rPr>
          <w:rFonts w:ascii="Calibri" w:hAnsi="Calibri" w:cs="Calibri"/>
          <w:color w:val="000000" w:themeColor="text1"/>
        </w:rPr>
        <w:t>in</w:t>
      </w:r>
      <w:r w:rsidRPr="00A76818">
        <w:rPr>
          <w:rFonts w:ascii="Calibri" w:hAnsi="Calibri" w:cs="Calibri"/>
          <w:color w:val="000000" w:themeColor="text1"/>
        </w:rPr>
        <w:t xml:space="preserve"> unison</w:t>
      </w:r>
      <w:r w:rsidR="00BF2C40" w:rsidRPr="00A76818">
        <w:rPr>
          <w:rFonts w:ascii="Calibri" w:hAnsi="Calibri" w:cs="Calibri"/>
          <w:color w:val="000000" w:themeColor="text1"/>
        </w:rPr>
        <w:t>,</w:t>
      </w:r>
      <w:r w:rsidR="00BF2C40" w:rsidRPr="00A76818">
        <w:rPr>
          <w:rFonts w:ascii="Calibri" w:hAnsi="Calibri" w:cs="Calibri"/>
          <w:color w:val="000000" w:themeColor="text1"/>
          <w:spacing w:val="12"/>
        </w:rPr>
        <w:t xml:space="preserve"> </w:t>
      </w:r>
      <w:r w:rsidR="00BF2C40" w:rsidRPr="00A76818">
        <w:rPr>
          <w:rFonts w:ascii="Calibri" w:hAnsi="Calibri" w:cs="Calibri"/>
          <w:color w:val="000000" w:themeColor="text1"/>
        </w:rPr>
        <w:t>based</w:t>
      </w:r>
      <w:r w:rsidR="00BF2C40" w:rsidRPr="00A76818">
        <w:rPr>
          <w:rFonts w:ascii="Calibri" w:hAnsi="Calibri" w:cs="Calibri"/>
          <w:color w:val="000000" w:themeColor="text1"/>
          <w:spacing w:val="23"/>
        </w:rPr>
        <w:t xml:space="preserve"> </w:t>
      </w:r>
      <w:r w:rsidR="00BF2C40" w:rsidRPr="00A76818">
        <w:rPr>
          <w:rFonts w:ascii="Calibri" w:hAnsi="Calibri" w:cs="Calibri"/>
          <w:color w:val="000000" w:themeColor="text1"/>
        </w:rPr>
        <w:t>on</w:t>
      </w:r>
      <w:r w:rsidR="00BF2C40" w:rsidRPr="00A76818">
        <w:rPr>
          <w:rFonts w:ascii="Calibri" w:hAnsi="Calibri" w:cs="Calibri"/>
          <w:color w:val="000000" w:themeColor="text1"/>
          <w:spacing w:val="-1"/>
        </w:rPr>
        <w:t xml:space="preserve"> </w:t>
      </w:r>
      <w:r w:rsidRPr="00A76818">
        <w:rPr>
          <w:rFonts w:ascii="Calibri" w:hAnsi="Calibri" w:cs="Calibri"/>
          <w:color w:val="000000" w:themeColor="text1"/>
        </w:rPr>
        <w:t>each household’s eligibility, goals,</w:t>
      </w:r>
      <w:r w:rsidRPr="00A76818">
        <w:rPr>
          <w:rFonts w:ascii="Calibri" w:hAnsi="Calibri" w:cs="Calibri"/>
          <w:color w:val="000000" w:themeColor="text1"/>
          <w:spacing w:val="38"/>
        </w:rPr>
        <w:t xml:space="preserve"> </w:t>
      </w:r>
      <w:r w:rsidR="00BF2C40" w:rsidRPr="00A76818">
        <w:rPr>
          <w:rFonts w:ascii="Calibri" w:hAnsi="Calibri" w:cs="Calibri"/>
          <w:color w:val="000000" w:themeColor="text1"/>
        </w:rPr>
        <w:t>and</w:t>
      </w:r>
      <w:r w:rsidR="00BF2C40" w:rsidRPr="00A76818">
        <w:rPr>
          <w:rFonts w:ascii="Calibri" w:hAnsi="Calibri" w:cs="Calibri"/>
          <w:color w:val="000000" w:themeColor="text1"/>
          <w:spacing w:val="19"/>
        </w:rPr>
        <w:t xml:space="preserve"> </w:t>
      </w:r>
      <w:r w:rsidR="00BF2C40" w:rsidRPr="00A76818">
        <w:rPr>
          <w:rFonts w:ascii="Calibri" w:hAnsi="Calibri" w:cs="Calibri"/>
          <w:color w:val="000000" w:themeColor="text1"/>
        </w:rPr>
        <w:t>strengths</w:t>
      </w:r>
      <w:r w:rsidRPr="00A76818">
        <w:rPr>
          <w:rFonts w:ascii="Calibri" w:hAnsi="Calibri" w:cs="Calibri"/>
          <w:color w:val="000000" w:themeColor="text1"/>
        </w:rPr>
        <w:t>. Different resources will be offered</w:t>
      </w:r>
      <w:r w:rsidR="00BF2C40" w:rsidRPr="00A76818">
        <w:rPr>
          <w:rFonts w:ascii="Calibri" w:hAnsi="Calibri" w:cs="Calibri"/>
          <w:color w:val="000000" w:themeColor="text1"/>
          <w:spacing w:val="11"/>
        </w:rPr>
        <w:t xml:space="preserve"> </w:t>
      </w:r>
      <w:r w:rsidRPr="00A76818">
        <w:rPr>
          <w:rFonts w:ascii="Calibri" w:hAnsi="Calibri" w:cs="Calibri"/>
          <w:color w:val="000000" w:themeColor="text1"/>
        </w:rPr>
        <w:t xml:space="preserve">at </w:t>
      </w:r>
      <w:r w:rsidR="00BF2C40" w:rsidRPr="00A76818">
        <w:rPr>
          <w:rFonts w:ascii="Calibri" w:hAnsi="Calibri" w:cs="Calibri"/>
          <w:color w:val="000000" w:themeColor="text1"/>
        </w:rPr>
        <w:t>different</w:t>
      </w:r>
      <w:r w:rsidR="00BF2C40" w:rsidRPr="00A76818">
        <w:rPr>
          <w:rFonts w:ascii="Calibri" w:hAnsi="Calibri" w:cs="Calibri"/>
          <w:color w:val="000000" w:themeColor="text1"/>
          <w:spacing w:val="28"/>
        </w:rPr>
        <w:t xml:space="preserve"> </w:t>
      </w:r>
      <w:r w:rsidR="00BF2C40" w:rsidRPr="00A76818">
        <w:rPr>
          <w:rFonts w:ascii="Calibri" w:hAnsi="Calibri" w:cs="Calibri"/>
          <w:color w:val="000000" w:themeColor="text1"/>
        </w:rPr>
        <w:t>levels</w:t>
      </w:r>
      <w:r w:rsidR="00BF2C40" w:rsidRPr="00A76818">
        <w:rPr>
          <w:rFonts w:ascii="Calibri" w:hAnsi="Calibri" w:cs="Calibri"/>
          <w:color w:val="000000" w:themeColor="text1"/>
          <w:spacing w:val="20"/>
        </w:rPr>
        <w:t xml:space="preserve"> </w:t>
      </w:r>
      <w:r w:rsidR="00BF2C40" w:rsidRPr="00A76818">
        <w:rPr>
          <w:rFonts w:ascii="Calibri" w:hAnsi="Calibri" w:cs="Calibri"/>
          <w:color w:val="000000" w:themeColor="text1"/>
        </w:rPr>
        <w:t>or</w:t>
      </w:r>
      <w:r w:rsidR="00BF2C40" w:rsidRPr="00A76818">
        <w:rPr>
          <w:rFonts w:ascii="Calibri" w:hAnsi="Calibri" w:cs="Calibri"/>
          <w:color w:val="000000" w:themeColor="text1"/>
          <w:spacing w:val="-2"/>
        </w:rPr>
        <w:t xml:space="preserve"> </w:t>
      </w:r>
      <w:r w:rsidR="00BF2C40" w:rsidRPr="00A76818">
        <w:rPr>
          <w:rFonts w:ascii="Calibri" w:hAnsi="Calibri" w:cs="Calibri"/>
          <w:color w:val="000000" w:themeColor="text1"/>
        </w:rPr>
        <w:t>phases</w:t>
      </w:r>
      <w:r w:rsidR="00BF2C40" w:rsidRPr="00A76818">
        <w:rPr>
          <w:rFonts w:ascii="Calibri" w:hAnsi="Calibri" w:cs="Calibri"/>
          <w:color w:val="000000" w:themeColor="text1"/>
          <w:spacing w:val="28"/>
        </w:rPr>
        <w:t xml:space="preserve"> </w:t>
      </w:r>
      <w:r w:rsidR="00BF2C40" w:rsidRPr="00A76818">
        <w:rPr>
          <w:rFonts w:ascii="Calibri" w:hAnsi="Calibri" w:cs="Calibri"/>
          <w:color w:val="000000" w:themeColor="text1"/>
        </w:rPr>
        <w:t>of</w:t>
      </w:r>
      <w:r w:rsidR="00BF2C40" w:rsidRPr="00A76818">
        <w:rPr>
          <w:rFonts w:ascii="Calibri" w:hAnsi="Calibri" w:cs="Calibri"/>
          <w:color w:val="000000" w:themeColor="text1"/>
          <w:spacing w:val="15"/>
        </w:rPr>
        <w:t xml:space="preserve"> </w:t>
      </w:r>
      <w:r w:rsidR="00BF2C40" w:rsidRPr="00A76818">
        <w:rPr>
          <w:rFonts w:ascii="Calibri" w:hAnsi="Calibri" w:cs="Calibri"/>
          <w:color w:val="000000" w:themeColor="text1"/>
        </w:rPr>
        <w:t>assistance.</w:t>
      </w:r>
    </w:p>
    <w:p w14:paraId="336EB41F" w14:textId="583C5AB1" w:rsidR="00BF2C40" w:rsidRPr="00A76818" w:rsidRDefault="00BF2C40"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Each</w:t>
      </w:r>
      <w:r w:rsidR="00056520" w:rsidRPr="00A76818">
        <w:rPr>
          <w:rFonts w:ascii="Calibri" w:hAnsi="Calibri" w:cs="Calibri"/>
          <w:color w:val="000000" w:themeColor="text1"/>
        </w:rPr>
        <w:t xml:space="preserve"> service provider</w:t>
      </w:r>
      <w:r w:rsidRPr="00A76818">
        <w:rPr>
          <w:rFonts w:ascii="Calibri" w:hAnsi="Calibri" w:cs="Calibri"/>
          <w:color w:val="000000" w:themeColor="text1"/>
        </w:rPr>
        <w:t xml:space="preserve"> should develop</w:t>
      </w:r>
      <w:r w:rsidRPr="00A76818">
        <w:rPr>
          <w:rFonts w:ascii="Calibri" w:hAnsi="Calibri" w:cs="Calibri"/>
          <w:color w:val="000000" w:themeColor="text1"/>
          <w:spacing w:val="21"/>
        </w:rPr>
        <w:t xml:space="preserve"> </w:t>
      </w:r>
      <w:r w:rsidRPr="00A76818">
        <w:rPr>
          <w:rFonts w:ascii="Calibri" w:hAnsi="Calibri" w:cs="Calibri"/>
          <w:color w:val="000000" w:themeColor="text1"/>
        </w:rPr>
        <w:t>an</w:t>
      </w:r>
      <w:r w:rsidRPr="00A76818">
        <w:rPr>
          <w:rFonts w:ascii="Calibri" w:hAnsi="Calibri" w:cs="Calibri"/>
          <w:color w:val="000000" w:themeColor="text1"/>
          <w:spacing w:val="7"/>
        </w:rPr>
        <w:t xml:space="preserve"> </w:t>
      </w:r>
      <w:r w:rsidRPr="00A76818">
        <w:rPr>
          <w:rFonts w:ascii="Calibri" w:hAnsi="Calibri" w:cs="Calibri"/>
          <w:color w:val="000000" w:themeColor="text1"/>
        </w:rPr>
        <w:t>approach to</w:t>
      </w:r>
      <w:r w:rsidRPr="00A76818">
        <w:rPr>
          <w:rFonts w:ascii="Calibri" w:hAnsi="Calibri" w:cs="Calibri"/>
          <w:color w:val="000000" w:themeColor="text1"/>
          <w:spacing w:val="18"/>
        </w:rPr>
        <w:t xml:space="preserve"> </w:t>
      </w:r>
      <w:r w:rsidRPr="00A76818">
        <w:rPr>
          <w:rFonts w:ascii="Calibri" w:hAnsi="Calibri" w:cs="Calibri"/>
          <w:color w:val="000000" w:themeColor="text1"/>
        </w:rPr>
        <w:t>identify and build relationships with willing</w:t>
      </w:r>
      <w:r w:rsidRPr="00A76818">
        <w:rPr>
          <w:rFonts w:ascii="Calibri" w:hAnsi="Calibri" w:cs="Calibri"/>
          <w:color w:val="000000" w:themeColor="text1"/>
          <w:spacing w:val="6"/>
        </w:rPr>
        <w:t xml:space="preserve"> </w:t>
      </w:r>
      <w:r w:rsidRPr="00A76818">
        <w:rPr>
          <w:rFonts w:ascii="Calibri" w:hAnsi="Calibri" w:cs="Calibri"/>
          <w:color w:val="000000" w:themeColor="text1"/>
        </w:rPr>
        <w:t>landlords</w:t>
      </w:r>
      <w:r w:rsidRPr="00A76818">
        <w:rPr>
          <w:rFonts w:ascii="Calibri" w:hAnsi="Calibri" w:cs="Calibri"/>
          <w:color w:val="000000" w:themeColor="text1"/>
          <w:spacing w:val="19"/>
        </w:rPr>
        <w:t>.</w:t>
      </w:r>
    </w:p>
    <w:p w14:paraId="5396E6BF" w14:textId="1C7AC7DD" w:rsidR="009D0651" w:rsidRPr="00A76818" w:rsidRDefault="00BF2C40"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While</w:t>
      </w:r>
      <w:r w:rsidRPr="00A76818">
        <w:rPr>
          <w:rFonts w:ascii="Calibri" w:hAnsi="Calibri" w:cs="Calibri"/>
          <w:color w:val="000000" w:themeColor="text1"/>
          <w:spacing w:val="14"/>
        </w:rPr>
        <w:t xml:space="preserve"> </w:t>
      </w:r>
      <w:r w:rsidRPr="00A76818">
        <w:rPr>
          <w:rFonts w:ascii="Calibri" w:hAnsi="Calibri" w:cs="Calibri"/>
          <w:color w:val="000000" w:themeColor="text1"/>
        </w:rPr>
        <w:t>in</w:t>
      </w:r>
      <w:r w:rsidRPr="00A76818">
        <w:rPr>
          <w:rFonts w:ascii="Calibri" w:hAnsi="Calibri" w:cs="Calibri"/>
          <w:color w:val="000000" w:themeColor="text1"/>
          <w:spacing w:val="7"/>
        </w:rPr>
        <w:t xml:space="preserve"> </w:t>
      </w:r>
      <w:r w:rsidRPr="00A76818">
        <w:rPr>
          <w:rFonts w:ascii="Calibri" w:hAnsi="Calibri" w:cs="Calibri"/>
          <w:color w:val="000000" w:themeColor="text1"/>
        </w:rPr>
        <w:t>the</w:t>
      </w:r>
      <w:r w:rsidRPr="00A76818">
        <w:rPr>
          <w:rFonts w:ascii="Calibri" w:hAnsi="Calibri" w:cs="Calibri"/>
          <w:color w:val="000000" w:themeColor="text1"/>
          <w:spacing w:val="5"/>
        </w:rPr>
        <w:t xml:space="preserve"> </w:t>
      </w:r>
      <w:r w:rsidRPr="00A76818">
        <w:rPr>
          <w:rFonts w:ascii="Calibri" w:hAnsi="Calibri" w:cs="Calibri"/>
          <w:color w:val="000000" w:themeColor="text1"/>
        </w:rPr>
        <w:t>progra</w:t>
      </w:r>
      <w:r w:rsidR="00056520" w:rsidRPr="00A76818">
        <w:rPr>
          <w:rFonts w:ascii="Calibri" w:hAnsi="Calibri" w:cs="Calibri"/>
          <w:color w:val="000000" w:themeColor="text1"/>
        </w:rPr>
        <w:t>m,</w:t>
      </w:r>
      <w:r w:rsidRPr="00A76818">
        <w:rPr>
          <w:rFonts w:ascii="Calibri" w:hAnsi="Calibri" w:cs="Calibri"/>
          <w:color w:val="000000" w:themeColor="text1"/>
          <w:spacing w:val="40"/>
        </w:rPr>
        <w:t xml:space="preserve"> </w:t>
      </w:r>
      <w:r w:rsidRPr="00A76818">
        <w:rPr>
          <w:rFonts w:ascii="Calibri" w:hAnsi="Calibri" w:cs="Calibri"/>
          <w:color w:val="000000" w:themeColor="text1"/>
        </w:rPr>
        <w:t>each</w:t>
      </w:r>
      <w:r w:rsidRPr="00A76818">
        <w:rPr>
          <w:rFonts w:ascii="Calibri" w:hAnsi="Calibri" w:cs="Calibri"/>
          <w:color w:val="000000" w:themeColor="text1"/>
          <w:spacing w:val="17"/>
        </w:rPr>
        <w:t xml:space="preserve"> </w:t>
      </w:r>
      <w:r w:rsidR="00056520" w:rsidRPr="00A76818">
        <w:rPr>
          <w:rFonts w:ascii="Calibri" w:hAnsi="Calibri" w:cs="Calibri"/>
          <w:color w:val="000000" w:themeColor="text1"/>
        </w:rPr>
        <w:t>household</w:t>
      </w:r>
      <w:r w:rsidRPr="00A76818">
        <w:rPr>
          <w:rFonts w:ascii="Calibri" w:hAnsi="Calibri" w:cs="Calibri"/>
          <w:color w:val="000000" w:themeColor="text1"/>
          <w:spacing w:val="6"/>
        </w:rPr>
        <w:t xml:space="preserve"> </w:t>
      </w:r>
      <w:r w:rsidRPr="00A76818">
        <w:rPr>
          <w:rFonts w:ascii="Calibri" w:hAnsi="Calibri" w:cs="Calibri"/>
          <w:color w:val="000000" w:themeColor="text1"/>
        </w:rPr>
        <w:t>is</w:t>
      </w:r>
      <w:r w:rsidRPr="00A76818">
        <w:rPr>
          <w:rFonts w:ascii="Calibri" w:hAnsi="Calibri" w:cs="Calibri"/>
          <w:color w:val="000000" w:themeColor="text1"/>
          <w:spacing w:val="10"/>
        </w:rPr>
        <w:t xml:space="preserve"> </w:t>
      </w:r>
      <w:r w:rsidRPr="00A76818">
        <w:rPr>
          <w:rFonts w:ascii="Calibri" w:hAnsi="Calibri" w:cs="Calibri"/>
          <w:color w:val="000000" w:themeColor="text1"/>
        </w:rPr>
        <w:t>assessed</w:t>
      </w:r>
      <w:r w:rsidRPr="00A76818">
        <w:rPr>
          <w:rFonts w:ascii="Calibri" w:hAnsi="Calibri" w:cs="Calibri"/>
          <w:color w:val="000000" w:themeColor="text1"/>
          <w:spacing w:val="29"/>
        </w:rPr>
        <w:t xml:space="preserve"> </w:t>
      </w:r>
      <w:r w:rsidRPr="00A76818">
        <w:rPr>
          <w:rFonts w:ascii="Calibri" w:hAnsi="Calibri" w:cs="Calibri"/>
          <w:color w:val="000000" w:themeColor="text1"/>
        </w:rPr>
        <w:t>every</w:t>
      </w:r>
      <w:r w:rsidRPr="00A76818">
        <w:rPr>
          <w:rFonts w:ascii="Calibri" w:hAnsi="Calibri" w:cs="Calibri"/>
          <w:color w:val="000000" w:themeColor="text1"/>
          <w:spacing w:val="8"/>
        </w:rPr>
        <w:t xml:space="preserve"> </w:t>
      </w:r>
      <w:r w:rsidRPr="00A76818">
        <w:rPr>
          <w:rFonts w:ascii="Calibri" w:hAnsi="Calibri" w:cs="Calibri"/>
          <w:color w:val="000000" w:themeColor="text1"/>
        </w:rPr>
        <w:t>three</w:t>
      </w:r>
      <w:r w:rsidRPr="00A76818">
        <w:rPr>
          <w:rFonts w:ascii="Calibri" w:hAnsi="Calibri" w:cs="Calibri"/>
          <w:color w:val="000000" w:themeColor="text1"/>
          <w:spacing w:val="2"/>
        </w:rPr>
        <w:t xml:space="preserve"> </w:t>
      </w:r>
      <w:r w:rsidRPr="00A76818">
        <w:rPr>
          <w:rFonts w:ascii="Calibri" w:hAnsi="Calibri" w:cs="Calibri"/>
          <w:color w:val="000000" w:themeColor="text1"/>
        </w:rPr>
        <w:t>months</w:t>
      </w:r>
      <w:r w:rsidRPr="00A76818">
        <w:rPr>
          <w:rFonts w:ascii="Calibri" w:hAnsi="Calibri" w:cs="Calibri"/>
          <w:color w:val="000000" w:themeColor="text1"/>
          <w:spacing w:val="12"/>
        </w:rPr>
        <w:t xml:space="preserve"> </w:t>
      </w:r>
      <w:r w:rsidRPr="00A76818">
        <w:rPr>
          <w:rFonts w:ascii="Calibri" w:hAnsi="Calibri" w:cs="Calibri"/>
          <w:color w:val="000000" w:themeColor="text1"/>
        </w:rPr>
        <w:t>to</w:t>
      </w:r>
      <w:r w:rsidRPr="00A76818">
        <w:rPr>
          <w:rFonts w:ascii="Calibri" w:hAnsi="Calibri" w:cs="Calibri"/>
          <w:color w:val="000000" w:themeColor="text1"/>
          <w:spacing w:val="16"/>
        </w:rPr>
        <w:t xml:space="preserve"> </w:t>
      </w:r>
      <w:r w:rsidRPr="00A76818">
        <w:rPr>
          <w:rFonts w:ascii="Calibri" w:hAnsi="Calibri" w:cs="Calibri"/>
          <w:color w:val="000000" w:themeColor="text1"/>
        </w:rPr>
        <w:t>determine</w:t>
      </w:r>
      <w:r w:rsidRPr="00A76818">
        <w:rPr>
          <w:rFonts w:ascii="Calibri" w:hAnsi="Calibri" w:cs="Calibri"/>
          <w:color w:val="000000" w:themeColor="text1"/>
          <w:spacing w:val="2"/>
        </w:rPr>
        <w:t xml:space="preserve"> </w:t>
      </w:r>
      <w:r w:rsidRPr="00A76818">
        <w:rPr>
          <w:rFonts w:ascii="Calibri" w:hAnsi="Calibri" w:cs="Calibri"/>
          <w:color w:val="000000" w:themeColor="text1"/>
        </w:rPr>
        <w:t>the</w:t>
      </w:r>
      <w:r w:rsidRPr="00A76818">
        <w:rPr>
          <w:rFonts w:ascii="Calibri" w:hAnsi="Calibri" w:cs="Calibri"/>
          <w:color w:val="000000" w:themeColor="text1"/>
          <w:w w:val="102"/>
        </w:rPr>
        <w:t xml:space="preserve"> </w:t>
      </w:r>
      <w:r w:rsidRPr="00A76818">
        <w:rPr>
          <w:rFonts w:ascii="Calibri" w:hAnsi="Calibri" w:cs="Calibri"/>
          <w:color w:val="000000" w:themeColor="text1"/>
        </w:rPr>
        <w:t>types</w:t>
      </w:r>
      <w:r w:rsidRPr="00A76818">
        <w:rPr>
          <w:rFonts w:ascii="Calibri" w:hAnsi="Calibri" w:cs="Calibri"/>
          <w:color w:val="000000" w:themeColor="text1"/>
          <w:spacing w:val="17"/>
        </w:rPr>
        <w:t xml:space="preserve"> </w:t>
      </w:r>
      <w:r w:rsidRPr="00A76818">
        <w:rPr>
          <w:rFonts w:ascii="Calibri" w:hAnsi="Calibri" w:cs="Calibri"/>
          <w:color w:val="000000" w:themeColor="text1"/>
        </w:rPr>
        <w:t>and</w:t>
      </w:r>
      <w:r w:rsidRPr="00A76818">
        <w:rPr>
          <w:rFonts w:ascii="Calibri" w:hAnsi="Calibri" w:cs="Calibri"/>
          <w:color w:val="000000" w:themeColor="text1"/>
          <w:spacing w:val="25"/>
        </w:rPr>
        <w:t xml:space="preserve"> </w:t>
      </w:r>
      <w:r w:rsidRPr="00A76818">
        <w:rPr>
          <w:rFonts w:ascii="Calibri" w:hAnsi="Calibri" w:cs="Calibri"/>
          <w:color w:val="000000" w:themeColor="text1"/>
        </w:rPr>
        <w:t>levels</w:t>
      </w:r>
      <w:r w:rsidRPr="00A76818">
        <w:rPr>
          <w:rFonts w:ascii="Calibri" w:hAnsi="Calibri" w:cs="Calibri"/>
          <w:color w:val="000000" w:themeColor="text1"/>
          <w:spacing w:val="13"/>
        </w:rPr>
        <w:t xml:space="preserve"> </w:t>
      </w:r>
      <w:r w:rsidRPr="00A76818">
        <w:rPr>
          <w:rFonts w:ascii="Calibri" w:hAnsi="Calibri" w:cs="Calibri"/>
          <w:color w:val="000000" w:themeColor="text1"/>
        </w:rPr>
        <w:t>of</w:t>
      </w:r>
      <w:r w:rsidRPr="00A76818">
        <w:rPr>
          <w:rFonts w:ascii="Calibri" w:hAnsi="Calibri" w:cs="Calibri"/>
          <w:color w:val="000000" w:themeColor="text1"/>
          <w:spacing w:val="7"/>
        </w:rPr>
        <w:t xml:space="preserve"> </w:t>
      </w:r>
      <w:r w:rsidRPr="00A76818">
        <w:rPr>
          <w:rFonts w:ascii="Calibri" w:hAnsi="Calibri" w:cs="Calibri"/>
          <w:color w:val="000000" w:themeColor="text1"/>
        </w:rPr>
        <w:t>assistance</w:t>
      </w:r>
      <w:r w:rsidRPr="00A76818">
        <w:rPr>
          <w:rFonts w:ascii="Calibri" w:hAnsi="Calibri" w:cs="Calibri"/>
          <w:color w:val="000000" w:themeColor="text1"/>
          <w:spacing w:val="11"/>
        </w:rPr>
        <w:t xml:space="preserve"> </w:t>
      </w:r>
      <w:r w:rsidRPr="00A76818">
        <w:rPr>
          <w:rFonts w:ascii="Calibri" w:hAnsi="Calibri" w:cs="Calibri"/>
          <w:color w:val="000000" w:themeColor="text1"/>
        </w:rPr>
        <w:t>required</w:t>
      </w:r>
      <w:r w:rsidRPr="00A76818">
        <w:rPr>
          <w:rFonts w:ascii="Calibri" w:hAnsi="Calibri" w:cs="Calibri"/>
          <w:color w:val="000000" w:themeColor="text1"/>
          <w:spacing w:val="38"/>
        </w:rPr>
        <w:t xml:space="preserve"> </w:t>
      </w:r>
      <w:r w:rsidR="00C777B8" w:rsidRPr="00A76818">
        <w:rPr>
          <w:rFonts w:ascii="Calibri" w:hAnsi="Calibri" w:cs="Calibri"/>
          <w:color w:val="000000" w:themeColor="text1"/>
        </w:rPr>
        <w:t>for</w:t>
      </w:r>
      <w:r w:rsidR="00056520" w:rsidRPr="00A76818">
        <w:rPr>
          <w:rFonts w:ascii="Calibri" w:hAnsi="Calibri" w:cs="Calibri"/>
          <w:color w:val="000000" w:themeColor="text1"/>
        </w:rPr>
        <w:t xml:space="preserve"> the household</w:t>
      </w:r>
      <w:r w:rsidRPr="00A76818">
        <w:rPr>
          <w:rFonts w:ascii="Calibri" w:hAnsi="Calibri" w:cs="Calibri"/>
          <w:color w:val="000000" w:themeColor="text1"/>
          <w:spacing w:val="13"/>
        </w:rPr>
        <w:t xml:space="preserve"> </w:t>
      </w:r>
      <w:r w:rsidR="00056520" w:rsidRPr="00A76818">
        <w:rPr>
          <w:rFonts w:ascii="Calibri" w:hAnsi="Calibri" w:cs="Calibri"/>
          <w:color w:val="000000" w:themeColor="text1"/>
        </w:rPr>
        <w:t xml:space="preserve">to maintain permanent housing. </w:t>
      </w:r>
    </w:p>
    <w:p w14:paraId="34630853" w14:textId="14E04929" w:rsidR="0064237E" w:rsidRPr="00A76818" w:rsidRDefault="0064237E" w:rsidP="000604EE">
      <w:pPr>
        <w:pStyle w:val="ListParagraph"/>
        <w:numPr>
          <w:ilvl w:val="1"/>
          <w:numId w:val="1"/>
        </w:numPr>
        <w:rPr>
          <w:rFonts w:ascii="Calibri" w:hAnsi="Calibri" w:cs="Calibri"/>
          <w:color w:val="000000" w:themeColor="text1"/>
        </w:rPr>
      </w:pPr>
      <w:r w:rsidRPr="00A76818">
        <w:rPr>
          <w:rFonts w:ascii="Calibri" w:hAnsi="Calibri" w:cs="Calibri"/>
          <w:color w:val="000000" w:themeColor="text1"/>
        </w:rPr>
        <w:t>Assessment in Phases</w:t>
      </w:r>
    </w:p>
    <w:p w14:paraId="7296480C" w14:textId="65BC5A76" w:rsidR="0064237E" w:rsidRPr="00A76818" w:rsidRDefault="0064237E"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 xml:space="preserve">Purpose </w:t>
      </w:r>
    </w:p>
    <w:p w14:paraId="05E746A0" w14:textId="79941183" w:rsidR="0064237E" w:rsidRPr="00A76818" w:rsidRDefault="00732163" w:rsidP="000604EE">
      <w:pPr>
        <w:pStyle w:val="NormalWeb"/>
        <w:numPr>
          <w:ilvl w:val="3"/>
          <w:numId w:val="1"/>
        </w:numPr>
        <w:spacing w:before="0" w:beforeAutospacing="0" w:after="0" w:afterAutospacing="0"/>
        <w:contextualSpacing/>
        <w:rPr>
          <w:rFonts w:ascii="Calibri" w:hAnsi="Calibri" w:cs="Calibri"/>
          <w:color w:val="000000" w:themeColor="text1"/>
        </w:rPr>
      </w:pPr>
      <w:r w:rsidRPr="00A76818">
        <w:rPr>
          <w:rFonts w:ascii="Calibri" w:hAnsi="Calibri" w:cs="Calibri"/>
          <w:color w:val="000000" w:themeColor="text1"/>
        </w:rPr>
        <w:lastRenderedPageBreak/>
        <w:t>The goal is to build an accurate and concise picture of that household’s needs and preferences in order to connect them to an appropriate intervention</w:t>
      </w:r>
      <w:r w:rsidR="000C7D2E" w:rsidRPr="00A76818">
        <w:rPr>
          <w:rFonts w:ascii="Calibri" w:hAnsi="Calibri" w:cs="Calibri"/>
          <w:color w:val="000000" w:themeColor="text1"/>
        </w:rPr>
        <w:t xml:space="preserve">. </w:t>
      </w:r>
    </w:p>
    <w:p w14:paraId="6D7D47FE" w14:textId="77777777" w:rsidR="00732163" w:rsidRPr="00A76818" w:rsidRDefault="0064237E" w:rsidP="000604EE">
      <w:pPr>
        <w:pStyle w:val="ListParagraph"/>
        <w:numPr>
          <w:ilvl w:val="2"/>
          <w:numId w:val="1"/>
        </w:numPr>
        <w:rPr>
          <w:rFonts w:ascii="Calibri" w:hAnsi="Calibri" w:cs="Calibri"/>
          <w:color w:val="000000" w:themeColor="text1"/>
        </w:rPr>
      </w:pPr>
      <w:r w:rsidRPr="00A76818">
        <w:rPr>
          <w:rFonts w:ascii="Calibri" w:hAnsi="Calibri" w:cs="Calibri"/>
          <w:color w:val="000000" w:themeColor="text1"/>
        </w:rPr>
        <w:t>Phases</w:t>
      </w:r>
    </w:p>
    <w:p w14:paraId="077E547A" w14:textId="18156476" w:rsidR="0064237E" w:rsidRPr="00A76818" w:rsidRDefault="0064237E"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u w:val="single"/>
        </w:rPr>
        <w:t>Initial Triage</w:t>
      </w:r>
      <w:r w:rsidR="00CE332F" w:rsidRPr="00A76818">
        <w:rPr>
          <w:rFonts w:ascii="Calibri" w:hAnsi="Calibri" w:cs="Calibri"/>
          <w:color w:val="000000" w:themeColor="text1"/>
        </w:rPr>
        <w:t xml:space="preserve"> </w:t>
      </w:r>
      <w:r w:rsidR="006D6716">
        <w:rPr>
          <w:rFonts w:ascii="Calibri" w:hAnsi="Calibri" w:cs="Calibri"/>
          <w:color w:val="000000" w:themeColor="text1"/>
        </w:rPr>
        <w:t>F</w:t>
      </w:r>
      <w:r w:rsidR="00732163" w:rsidRPr="00A76818">
        <w:rPr>
          <w:rFonts w:ascii="Calibri" w:hAnsi="Calibri" w:cs="Calibri"/>
          <w:color w:val="000000" w:themeColor="text1"/>
        </w:rPr>
        <w:t>ocused on defining the nature of the current crisis and ensuring the household’s immediate safety</w:t>
      </w:r>
    </w:p>
    <w:p w14:paraId="17BB3952" w14:textId="4AC76EAE" w:rsidR="00CE332F" w:rsidRPr="00A76818" w:rsidRDefault="0064237E"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u w:val="single"/>
        </w:rPr>
        <w:t>Diversion</w:t>
      </w:r>
      <w:r w:rsidR="00CE332F" w:rsidRPr="00A76818">
        <w:rPr>
          <w:rFonts w:ascii="Calibri" w:hAnsi="Calibri" w:cs="Calibri"/>
          <w:color w:val="000000" w:themeColor="text1"/>
        </w:rPr>
        <w:t xml:space="preserve"> Can occur as part of the initial triage assessment or separately; focused on assisting the household to examine their resources and options other than entering the homeless system of care</w:t>
      </w:r>
      <w:r w:rsidRPr="00A76818">
        <w:rPr>
          <w:rFonts w:ascii="Calibri" w:hAnsi="Calibri" w:cs="Calibri"/>
          <w:color w:val="000000" w:themeColor="text1"/>
        </w:rPr>
        <w:t xml:space="preserve"> </w:t>
      </w:r>
      <w:r w:rsidR="00CE332F" w:rsidRPr="00A76818">
        <w:rPr>
          <w:rFonts w:ascii="Calibri" w:hAnsi="Calibri" w:cs="Calibri"/>
          <w:color w:val="000000" w:themeColor="text1"/>
        </w:rPr>
        <w:t>through a set of set questions</w:t>
      </w:r>
    </w:p>
    <w:p w14:paraId="73ED21A0" w14:textId="47625668" w:rsidR="00732163" w:rsidRPr="00A76818" w:rsidRDefault="0064237E"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u w:val="single"/>
        </w:rPr>
        <w:t>Standardized Prevention Screening Tool</w:t>
      </w:r>
      <w:r w:rsidRPr="00A76818">
        <w:rPr>
          <w:rFonts w:ascii="Calibri" w:hAnsi="Calibri" w:cs="Calibri"/>
          <w:color w:val="000000" w:themeColor="text1"/>
        </w:rPr>
        <w:t xml:space="preserve"> </w:t>
      </w:r>
      <w:r w:rsidR="00CE332F" w:rsidRPr="00A76818">
        <w:rPr>
          <w:rFonts w:ascii="Calibri" w:hAnsi="Calibri" w:cs="Calibri"/>
          <w:color w:val="000000" w:themeColor="text1"/>
        </w:rPr>
        <w:t xml:space="preserve">A </w:t>
      </w:r>
      <w:r w:rsidR="00BF3A53" w:rsidRPr="00A76818">
        <w:rPr>
          <w:rFonts w:ascii="Calibri" w:hAnsi="Calibri" w:cs="Calibri"/>
          <w:color w:val="000000" w:themeColor="text1"/>
        </w:rPr>
        <w:t>locally developed</w:t>
      </w:r>
      <w:r w:rsidR="00CE332F" w:rsidRPr="00A76818">
        <w:rPr>
          <w:rFonts w:ascii="Calibri" w:hAnsi="Calibri" w:cs="Calibri"/>
          <w:color w:val="000000" w:themeColor="text1"/>
        </w:rPr>
        <w:t xml:space="preserve"> tool intended to assess a household’s vulnerability and eligibility for prevention resources such as eviction prevention assistance.</w:t>
      </w:r>
    </w:p>
    <w:p w14:paraId="58AFFC7A" w14:textId="743A2E0A" w:rsidR="0064237E" w:rsidRPr="00A76818" w:rsidRDefault="0064237E" w:rsidP="000604EE">
      <w:pPr>
        <w:pStyle w:val="ListParagraph"/>
        <w:numPr>
          <w:ilvl w:val="3"/>
          <w:numId w:val="1"/>
        </w:numPr>
        <w:rPr>
          <w:rFonts w:ascii="Calibri" w:hAnsi="Calibri" w:cs="Calibri"/>
          <w:color w:val="000000" w:themeColor="text1"/>
        </w:rPr>
      </w:pPr>
      <w:r w:rsidRPr="00A76818">
        <w:rPr>
          <w:rFonts w:ascii="Calibri" w:hAnsi="Calibri" w:cs="Calibri"/>
          <w:color w:val="000000" w:themeColor="text1"/>
          <w:u w:val="single"/>
        </w:rPr>
        <w:t>Intake</w:t>
      </w:r>
      <w:r w:rsidRPr="00A76818">
        <w:rPr>
          <w:rFonts w:ascii="Calibri" w:hAnsi="Calibri" w:cs="Calibri"/>
          <w:color w:val="000000" w:themeColor="text1"/>
        </w:rPr>
        <w:t xml:space="preserve"> </w:t>
      </w:r>
      <w:r w:rsidR="006D6716">
        <w:rPr>
          <w:rFonts w:ascii="Calibri" w:hAnsi="Calibri" w:cs="Calibri"/>
          <w:color w:val="000000" w:themeColor="text1"/>
        </w:rPr>
        <w:t>O</w:t>
      </w:r>
      <w:r w:rsidR="00732163" w:rsidRPr="00A76818">
        <w:rPr>
          <w:rFonts w:ascii="Calibri" w:hAnsi="Calibri" w:cs="Calibri"/>
          <w:color w:val="000000" w:themeColor="text1"/>
        </w:rPr>
        <w:t>ccurs when the household accepts crisis assistance, such as emergency shelter</w:t>
      </w:r>
      <w:r w:rsidR="000C7D2E" w:rsidRPr="00A76818">
        <w:rPr>
          <w:rFonts w:ascii="Calibri" w:hAnsi="Calibri" w:cs="Calibri"/>
          <w:color w:val="000000" w:themeColor="text1"/>
        </w:rPr>
        <w:t xml:space="preserve">. </w:t>
      </w:r>
      <w:r w:rsidR="00732163" w:rsidRPr="00A76818">
        <w:rPr>
          <w:rFonts w:ascii="Calibri" w:hAnsi="Calibri" w:cs="Calibri"/>
          <w:color w:val="000000" w:themeColor="text1"/>
        </w:rPr>
        <w:t>Assessment is likely limited to collecting information necessary to enroll the household in a homeless assistance project</w:t>
      </w:r>
      <w:r w:rsidR="00722D61" w:rsidRPr="00A76818">
        <w:rPr>
          <w:rFonts w:ascii="Calibri" w:hAnsi="Calibri" w:cs="Calibri"/>
          <w:color w:val="000000" w:themeColor="text1"/>
        </w:rPr>
        <w:t xml:space="preserve"> (</w:t>
      </w:r>
      <w:r w:rsidR="00732163" w:rsidRPr="00A76818">
        <w:rPr>
          <w:rFonts w:ascii="Calibri" w:hAnsi="Calibri" w:cs="Calibri"/>
          <w:color w:val="000000" w:themeColor="text1"/>
        </w:rPr>
        <w:t xml:space="preserve">i.e., the homeless assistance project could be </w:t>
      </w:r>
      <w:r w:rsidR="00722D61" w:rsidRPr="00A76818">
        <w:rPr>
          <w:rFonts w:ascii="Calibri" w:hAnsi="Calibri" w:cs="Calibri"/>
          <w:color w:val="000000" w:themeColor="text1"/>
        </w:rPr>
        <w:t xml:space="preserve">emergency shelter or </w:t>
      </w:r>
      <w:r w:rsidR="00732163" w:rsidRPr="00A76818">
        <w:rPr>
          <w:rFonts w:ascii="Calibri" w:hAnsi="Calibri" w:cs="Calibri"/>
          <w:color w:val="000000" w:themeColor="text1"/>
        </w:rPr>
        <w:t>coordinated entry</w:t>
      </w:r>
      <w:r w:rsidR="00722D61" w:rsidRPr="00A76818">
        <w:rPr>
          <w:rFonts w:ascii="Calibri" w:hAnsi="Calibri" w:cs="Calibri"/>
          <w:color w:val="000000" w:themeColor="text1"/>
        </w:rPr>
        <w:t xml:space="preserve">, such as permanent supportive housing or rapid re-housing, </w:t>
      </w:r>
      <w:r w:rsidR="00732163" w:rsidRPr="00A76818">
        <w:rPr>
          <w:rFonts w:ascii="Calibri" w:hAnsi="Calibri" w:cs="Calibri"/>
          <w:color w:val="000000" w:themeColor="text1"/>
        </w:rPr>
        <w:t>depending on how the CoC has structured and defined crisis response interventions).</w:t>
      </w:r>
    </w:p>
    <w:p w14:paraId="762DBD99" w14:textId="4A94315C" w:rsidR="00BC6C26" w:rsidRPr="000604EE" w:rsidRDefault="0064237E" w:rsidP="000604EE">
      <w:pPr>
        <w:pStyle w:val="ListParagraph"/>
        <w:numPr>
          <w:ilvl w:val="3"/>
          <w:numId w:val="1"/>
        </w:numPr>
        <w:rPr>
          <w:rFonts w:ascii="Calibri" w:hAnsi="Calibri" w:cs="Calibri"/>
          <w:color w:val="000000" w:themeColor="text1"/>
          <w:sz w:val="20"/>
          <w:szCs w:val="20"/>
        </w:rPr>
      </w:pPr>
      <w:r w:rsidRPr="00A76818">
        <w:rPr>
          <w:rFonts w:ascii="Calibri" w:hAnsi="Calibri" w:cs="Calibri"/>
          <w:color w:val="000000" w:themeColor="text1"/>
          <w:u w:val="single"/>
        </w:rPr>
        <w:t>Modified VI-SPDAT</w:t>
      </w:r>
      <w:r w:rsidR="00CE332F" w:rsidRPr="00A76818">
        <w:rPr>
          <w:rFonts w:ascii="Calibri" w:hAnsi="Calibri" w:cs="Calibri"/>
          <w:color w:val="000000" w:themeColor="text1"/>
        </w:rPr>
        <w:t xml:space="preserve"> </w:t>
      </w:r>
      <w:r w:rsidR="006D6716">
        <w:rPr>
          <w:rFonts w:ascii="Calibri" w:hAnsi="Calibri" w:cs="Calibri"/>
          <w:color w:val="000000" w:themeColor="text1"/>
        </w:rPr>
        <w:t>C</w:t>
      </w:r>
      <w:r w:rsidR="00CE332F" w:rsidRPr="00A76818">
        <w:rPr>
          <w:rFonts w:ascii="Calibri" w:hAnsi="Calibri" w:cs="Calibri"/>
          <w:color w:val="000000" w:themeColor="text1"/>
        </w:rPr>
        <w:t xml:space="preserve">ollects information about a household’s </w:t>
      </w:r>
      <w:r w:rsidR="00BF3A53" w:rsidRPr="00A76818">
        <w:rPr>
          <w:rFonts w:ascii="Calibri" w:hAnsi="Calibri" w:cs="Calibri"/>
          <w:color w:val="000000" w:themeColor="text1"/>
        </w:rPr>
        <w:t xml:space="preserve">potential </w:t>
      </w:r>
      <w:r w:rsidR="00CE332F" w:rsidRPr="00A76818">
        <w:rPr>
          <w:rFonts w:ascii="Calibri" w:hAnsi="Calibri" w:cs="Calibri"/>
          <w:color w:val="000000" w:themeColor="text1"/>
        </w:rPr>
        <w:t>eligibility and vulnerability for prioritization</w:t>
      </w:r>
      <w:r w:rsidR="00BF3A53" w:rsidRPr="00A76818">
        <w:rPr>
          <w:rFonts w:ascii="Calibri" w:hAnsi="Calibri" w:cs="Calibri"/>
          <w:color w:val="000000" w:themeColor="text1"/>
        </w:rPr>
        <w:t xml:space="preserve"> for housing and services programs.</w:t>
      </w:r>
      <w:r w:rsidR="00BF3A53" w:rsidRPr="000604EE">
        <w:rPr>
          <w:rFonts w:ascii="Calibri" w:hAnsi="Calibri" w:cs="Calibri"/>
          <w:color w:val="000000" w:themeColor="text1"/>
          <w:sz w:val="20"/>
          <w:szCs w:val="20"/>
        </w:rPr>
        <w:t xml:space="preserve"> </w:t>
      </w:r>
      <w:r w:rsidR="00BC6C26" w:rsidRPr="000604EE">
        <w:rPr>
          <w:rFonts w:ascii="Calibri" w:hAnsi="Calibri"/>
          <w:color w:val="000000" w:themeColor="text1"/>
          <w:sz w:val="20"/>
          <w:szCs w:val="20"/>
        </w:rPr>
        <w:br w:type="page"/>
      </w:r>
    </w:p>
    <w:p w14:paraId="53CF900A" w14:textId="77777777" w:rsidR="00BC6C26" w:rsidRPr="0058586C" w:rsidRDefault="00BC6C26" w:rsidP="000604EE">
      <w:pPr>
        <w:pStyle w:val="Heading1"/>
        <w:rPr>
          <w:b/>
          <w:bCs/>
          <w:color w:val="0070C0"/>
        </w:rPr>
      </w:pPr>
      <w:bookmarkStart w:id="131" w:name="_Toc124255040"/>
      <w:bookmarkStart w:id="132" w:name="_Hlk107588849"/>
      <w:r w:rsidRPr="0058586C">
        <w:rPr>
          <w:b/>
          <w:bCs/>
          <w:color w:val="0070C0"/>
        </w:rPr>
        <w:lastRenderedPageBreak/>
        <w:t>Standards for Emergency Shelter</w:t>
      </w:r>
      <w:bookmarkEnd w:id="131"/>
      <w:r w:rsidRPr="0058586C">
        <w:rPr>
          <w:b/>
          <w:bCs/>
          <w:color w:val="0070C0"/>
        </w:rPr>
        <w:t xml:space="preserve"> </w:t>
      </w:r>
    </w:p>
    <w:p w14:paraId="5CD5BA67" w14:textId="313AA527" w:rsidR="00BC6C26" w:rsidRPr="0058586C" w:rsidRDefault="00BC6C26">
      <w:pPr>
        <w:pStyle w:val="Heading2"/>
        <w:numPr>
          <w:ilvl w:val="0"/>
          <w:numId w:val="17"/>
        </w:numPr>
        <w:spacing w:before="0" w:line="240" w:lineRule="auto"/>
        <w:contextualSpacing/>
        <w:rPr>
          <w:color w:val="0070C0"/>
        </w:rPr>
      </w:pPr>
      <w:bookmarkStart w:id="133" w:name="_Toc124255041"/>
      <w:r w:rsidRPr="0058586C">
        <w:rPr>
          <w:color w:val="0070C0"/>
        </w:rPr>
        <w:t>Introduction</w:t>
      </w:r>
      <w:bookmarkEnd w:id="133"/>
      <w:r w:rsidRPr="0058586C">
        <w:rPr>
          <w:color w:val="0070C0"/>
        </w:rPr>
        <w:t xml:space="preserve"> </w:t>
      </w:r>
    </w:p>
    <w:p w14:paraId="5648EDDD" w14:textId="5187CF71" w:rsidR="00056520" w:rsidRPr="00A76818" w:rsidRDefault="006131E4" w:rsidP="000604EE">
      <w:pPr>
        <w:pStyle w:val="ListParagraph"/>
        <w:numPr>
          <w:ilvl w:val="1"/>
          <w:numId w:val="2"/>
        </w:numPr>
        <w:rPr>
          <w:rFonts w:ascii="Calibri" w:hAnsi="Calibri"/>
          <w:color w:val="000000" w:themeColor="text1"/>
        </w:rPr>
      </w:pPr>
      <w:r w:rsidRPr="00A76818">
        <w:rPr>
          <w:rFonts w:ascii="Calibri" w:hAnsi="Calibri"/>
          <w:color w:val="000000" w:themeColor="text1"/>
        </w:rPr>
        <w:t xml:space="preserve">Emergency </w:t>
      </w:r>
      <w:r w:rsidR="00BC6C26" w:rsidRPr="00A76818">
        <w:rPr>
          <w:rFonts w:ascii="Calibri" w:hAnsi="Calibri"/>
          <w:color w:val="000000" w:themeColor="text1"/>
        </w:rPr>
        <w:t>S</w:t>
      </w:r>
      <w:r w:rsidRPr="00A76818">
        <w:rPr>
          <w:rFonts w:ascii="Calibri" w:hAnsi="Calibri"/>
          <w:color w:val="000000" w:themeColor="text1"/>
        </w:rPr>
        <w:t xml:space="preserve">olutions </w:t>
      </w:r>
      <w:r w:rsidR="00BC6C26" w:rsidRPr="00A76818">
        <w:rPr>
          <w:rFonts w:ascii="Calibri" w:hAnsi="Calibri"/>
          <w:color w:val="000000" w:themeColor="text1"/>
        </w:rPr>
        <w:t>G</w:t>
      </w:r>
      <w:r w:rsidRPr="00A76818">
        <w:rPr>
          <w:rFonts w:ascii="Calibri" w:hAnsi="Calibri"/>
          <w:color w:val="000000" w:themeColor="text1"/>
        </w:rPr>
        <w:t>rant (ESG)</w:t>
      </w:r>
      <w:r w:rsidR="00BC6C26" w:rsidRPr="00A76818">
        <w:rPr>
          <w:rFonts w:ascii="Calibri" w:hAnsi="Calibri"/>
          <w:color w:val="000000" w:themeColor="text1"/>
        </w:rPr>
        <w:t xml:space="preserve"> </w:t>
      </w:r>
      <w:r w:rsidRPr="00A76818">
        <w:rPr>
          <w:rFonts w:ascii="Calibri" w:hAnsi="Calibri"/>
          <w:color w:val="000000" w:themeColor="text1"/>
        </w:rPr>
        <w:t>e</w:t>
      </w:r>
      <w:r w:rsidR="00BC6C26" w:rsidRPr="00A76818">
        <w:rPr>
          <w:rFonts w:ascii="Calibri" w:hAnsi="Calibri"/>
          <w:color w:val="000000" w:themeColor="text1"/>
        </w:rPr>
        <w:t xml:space="preserve">mergency </w:t>
      </w:r>
      <w:r w:rsidRPr="00A76818">
        <w:rPr>
          <w:rFonts w:ascii="Calibri" w:hAnsi="Calibri"/>
          <w:color w:val="000000" w:themeColor="text1"/>
        </w:rPr>
        <w:t>s</w:t>
      </w:r>
      <w:r w:rsidR="00BC6C26" w:rsidRPr="00A76818">
        <w:rPr>
          <w:rFonts w:ascii="Calibri" w:hAnsi="Calibri"/>
          <w:color w:val="000000" w:themeColor="text1"/>
        </w:rPr>
        <w:t>helter funds are intended to respond to crisis and provide short-term emergency assistance</w:t>
      </w:r>
      <w:r w:rsidR="00056520" w:rsidRPr="00A76818">
        <w:rPr>
          <w:rFonts w:ascii="Calibri" w:hAnsi="Calibri"/>
          <w:color w:val="000000" w:themeColor="text1"/>
        </w:rPr>
        <w:t xml:space="preserve">. </w:t>
      </w:r>
    </w:p>
    <w:p w14:paraId="4BE2E96F" w14:textId="20000D8D" w:rsidR="003017CE" w:rsidRPr="00A76818" w:rsidRDefault="00056520" w:rsidP="000604EE">
      <w:pPr>
        <w:pStyle w:val="ListParagraph"/>
        <w:numPr>
          <w:ilvl w:val="1"/>
          <w:numId w:val="2"/>
        </w:numPr>
        <w:rPr>
          <w:rFonts w:ascii="Calibri" w:hAnsi="Calibri"/>
          <w:color w:val="000000" w:themeColor="text1"/>
        </w:rPr>
      </w:pPr>
      <w:r w:rsidRPr="00A76818">
        <w:rPr>
          <w:rFonts w:ascii="Calibri" w:hAnsi="Calibri"/>
          <w:color w:val="000000" w:themeColor="text1"/>
        </w:rPr>
        <w:t>Emergency shelters provide temporary housing and services in order to assist</w:t>
      </w:r>
      <w:r w:rsidR="00BC6C26" w:rsidRPr="00A76818">
        <w:rPr>
          <w:rFonts w:ascii="Calibri" w:hAnsi="Calibri"/>
          <w:color w:val="000000" w:themeColor="text1"/>
        </w:rPr>
        <w:t xml:space="preserve"> households </w:t>
      </w:r>
      <w:r w:rsidRPr="00A76818">
        <w:rPr>
          <w:rFonts w:ascii="Calibri" w:hAnsi="Calibri"/>
          <w:color w:val="000000" w:themeColor="text1"/>
        </w:rPr>
        <w:t xml:space="preserve">in </w:t>
      </w:r>
      <w:r w:rsidR="00BC6C26" w:rsidRPr="00A76818">
        <w:rPr>
          <w:rFonts w:ascii="Calibri" w:hAnsi="Calibri"/>
          <w:color w:val="000000" w:themeColor="text1"/>
        </w:rPr>
        <w:t xml:space="preserve">obtaining </w:t>
      </w:r>
      <w:r w:rsidR="00B75034" w:rsidRPr="00A76818">
        <w:rPr>
          <w:rFonts w:ascii="Calibri" w:hAnsi="Calibri"/>
          <w:color w:val="000000" w:themeColor="text1"/>
        </w:rPr>
        <w:t xml:space="preserve">stable </w:t>
      </w:r>
      <w:r w:rsidR="00BC6C26" w:rsidRPr="00A76818">
        <w:rPr>
          <w:rFonts w:ascii="Calibri" w:hAnsi="Calibri"/>
          <w:color w:val="000000" w:themeColor="text1"/>
        </w:rPr>
        <w:t xml:space="preserve">permanent housing as quickly as possible. </w:t>
      </w:r>
    </w:p>
    <w:p w14:paraId="3D148D53" w14:textId="4840F4BC" w:rsidR="007372A6" w:rsidRPr="00A76818" w:rsidRDefault="007372A6" w:rsidP="000604EE">
      <w:pPr>
        <w:pStyle w:val="ListParagraph"/>
        <w:numPr>
          <w:ilvl w:val="1"/>
          <w:numId w:val="2"/>
        </w:numPr>
        <w:rPr>
          <w:rFonts w:ascii="Calibri" w:hAnsi="Calibri" w:cs="Calibri"/>
          <w:color w:val="000000" w:themeColor="text1"/>
        </w:rPr>
      </w:pPr>
      <w:r w:rsidRPr="00A76818">
        <w:rPr>
          <w:rFonts w:ascii="Calibri" w:hAnsi="Calibri" w:cs="Calibri"/>
          <w:color w:val="000000" w:themeColor="text1"/>
        </w:rPr>
        <w:t>All ESG-funded emergency shelter is provided without additional preconditions (e.g., employment or sobriety).</w:t>
      </w:r>
    </w:p>
    <w:p w14:paraId="20256D2B" w14:textId="77777777" w:rsidR="00BC6C26" w:rsidRPr="00A76818" w:rsidRDefault="00BC6C26" w:rsidP="000604EE">
      <w:pPr>
        <w:contextualSpacing/>
        <w:rPr>
          <w:rFonts w:ascii="Calibri" w:hAnsi="Calibri" w:cs="Calibri"/>
          <w:color w:val="000000" w:themeColor="text1"/>
        </w:rPr>
      </w:pPr>
    </w:p>
    <w:p w14:paraId="56D9E0CA" w14:textId="4985FFA3" w:rsidR="00BC6C26" w:rsidRPr="0058586C" w:rsidRDefault="00BC6C26">
      <w:pPr>
        <w:pStyle w:val="Heading2"/>
        <w:numPr>
          <w:ilvl w:val="0"/>
          <w:numId w:val="17"/>
        </w:numPr>
        <w:spacing w:before="0" w:line="240" w:lineRule="auto"/>
        <w:contextualSpacing/>
        <w:rPr>
          <w:color w:val="0070C0"/>
        </w:rPr>
      </w:pPr>
      <w:bookmarkStart w:id="134" w:name="_Toc124255042"/>
      <w:r w:rsidRPr="0058586C">
        <w:rPr>
          <w:color w:val="0070C0"/>
        </w:rPr>
        <w:t>Eligibility</w:t>
      </w:r>
      <w:bookmarkEnd w:id="134"/>
    </w:p>
    <w:p w14:paraId="6925FBFD" w14:textId="77777777" w:rsidR="003570C0" w:rsidRDefault="00BC6C26">
      <w:pPr>
        <w:pStyle w:val="ListParagraph"/>
        <w:numPr>
          <w:ilvl w:val="0"/>
          <w:numId w:val="18"/>
        </w:numPr>
        <w:rPr>
          <w:rFonts w:ascii="Calibri" w:hAnsi="Calibri"/>
          <w:color w:val="000000" w:themeColor="text1"/>
        </w:rPr>
      </w:pPr>
      <w:r w:rsidRPr="00A76818">
        <w:rPr>
          <w:rFonts w:ascii="Calibri" w:hAnsi="Calibri"/>
          <w:color w:val="000000" w:themeColor="text1"/>
        </w:rPr>
        <w:t xml:space="preserve">To enter ESG-funded emergency shelter, a household must be literally homeless, at imminent risk of homelessness, or fleeing/attempting to flee domestic violence. </w:t>
      </w:r>
    </w:p>
    <w:p w14:paraId="13FBF60B" w14:textId="00982DE9" w:rsidR="00BF2C40" w:rsidRPr="003570C0" w:rsidRDefault="00BF2C40">
      <w:pPr>
        <w:pStyle w:val="ListParagraph"/>
        <w:numPr>
          <w:ilvl w:val="1"/>
          <w:numId w:val="89"/>
        </w:numPr>
        <w:rPr>
          <w:rFonts w:ascii="Calibri" w:hAnsi="Calibri"/>
          <w:color w:val="000000" w:themeColor="text1"/>
        </w:rPr>
      </w:pPr>
      <w:r w:rsidRPr="003570C0">
        <w:rPr>
          <w:rFonts w:ascii="Calibri" w:hAnsi="Calibri"/>
          <w:color w:val="000000" w:themeColor="text1"/>
        </w:rPr>
        <w:t xml:space="preserve">See Appendix </w:t>
      </w:r>
      <w:r w:rsidR="00CC61AB" w:rsidRPr="003570C0">
        <w:rPr>
          <w:rFonts w:ascii="Calibri" w:hAnsi="Calibri"/>
          <w:color w:val="000000" w:themeColor="text1"/>
        </w:rPr>
        <w:t>E</w:t>
      </w:r>
      <w:r w:rsidRPr="003570C0">
        <w:rPr>
          <w:rFonts w:ascii="Calibri" w:hAnsi="Calibri"/>
          <w:color w:val="000000" w:themeColor="text1"/>
        </w:rPr>
        <w:t xml:space="preserve">: HUD Definitions of Homelessness (pg. </w:t>
      </w:r>
      <w:r w:rsidR="00E72448" w:rsidRPr="003570C0">
        <w:rPr>
          <w:rFonts w:ascii="Calibri" w:hAnsi="Calibri"/>
          <w:color w:val="000000" w:themeColor="text1"/>
        </w:rPr>
        <w:t>4</w:t>
      </w:r>
      <w:r w:rsidR="00CC61AB" w:rsidRPr="003570C0">
        <w:rPr>
          <w:rFonts w:ascii="Calibri" w:hAnsi="Calibri"/>
          <w:color w:val="000000" w:themeColor="text1"/>
        </w:rPr>
        <w:t>6</w:t>
      </w:r>
      <w:r w:rsidRPr="003570C0">
        <w:rPr>
          <w:rFonts w:ascii="Calibri" w:hAnsi="Calibri"/>
          <w:color w:val="000000" w:themeColor="text1"/>
        </w:rPr>
        <w:t>) for more information about these definitions</w:t>
      </w:r>
      <w:r w:rsidR="000C7D2E" w:rsidRPr="003570C0">
        <w:rPr>
          <w:rFonts w:ascii="Calibri" w:hAnsi="Calibri"/>
          <w:color w:val="000000" w:themeColor="text1"/>
        </w:rPr>
        <w:t xml:space="preserve">. </w:t>
      </w:r>
    </w:p>
    <w:p w14:paraId="6DE75FAA" w14:textId="1378C9B1" w:rsidR="0034073B" w:rsidRPr="00A76818" w:rsidRDefault="0034073B">
      <w:pPr>
        <w:pStyle w:val="ListParagraph"/>
        <w:numPr>
          <w:ilvl w:val="1"/>
          <w:numId w:val="89"/>
        </w:numPr>
        <w:rPr>
          <w:rFonts w:ascii="Calibri" w:hAnsi="Calibri"/>
          <w:color w:val="000000" w:themeColor="text1"/>
        </w:rPr>
      </w:pPr>
      <w:r w:rsidRPr="00A76818">
        <w:rPr>
          <w:rFonts w:ascii="Calibri" w:hAnsi="Calibri"/>
          <w:color w:val="000000" w:themeColor="text1"/>
        </w:rPr>
        <w:t xml:space="preserve">Please see Appendix </w:t>
      </w:r>
      <w:r w:rsidR="00CC61AB">
        <w:rPr>
          <w:rFonts w:ascii="Calibri" w:hAnsi="Calibri"/>
          <w:color w:val="000000" w:themeColor="text1"/>
        </w:rPr>
        <w:t>F</w:t>
      </w:r>
      <w:r w:rsidRPr="00A76818">
        <w:rPr>
          <w:rFonts w:ascii="Calibri" w:hAnsi="Calibri"/>
          <w:color w:val="000000" w:themeColor="text1"/>
        </w:rPr>
        <w:t xml:space="preserve">: HUD Recordkeeping Requirement (pg. </w:t>
      </w:r>
      <w:r w:rsidR="00660B32" w:rsidRPr="00A76818">
        <w:rPr>
          <w:rFonts w:ascii="Calibri" w:hAnsi="Calibri"/>
          <w:color w:val="000000" w:themeColor="text1"/>
        </w:rPr>
        <w:t>4</w:t>
      </w:r>
      <w:r w:rsidR="00CC61AB">
        <w:rPr>
          <w:rFonts w:ascii="Calibri" w:hAnsi="Calibri"/>
          <w:color w:val="000000" w:themeColor="text1"/>
        </w:rPr>
        <w:t>7</w:t>
      </w:r>
      <w:r w:rsidRPr="00A76818">
        <w:rPr>
          <w:rFonts w:ascii="Calibri" w:hAnsi="Calibri"/>
          <w:color w:val="000000" w:themeColor="text1"/>
        </w:rPr>
        <w:t xml:space="preserve">) for more information on how to properly document eligibility for emergency shelter. </w:t>
      </w:r>
    </w:p>
    <w:p w14:paraId="1DDE7E9D" w14:textId="12FB520C" w:rsidR="005A12C3" w:rsidRPr="00A76818" w:rsidRDefault="005A12C3">
      <w:pPr>
        <w:pStyle w:val="ListParagraph"/>
        <w:numPr>
          <w:ilvl w:val="0"/>
          <w:numId w:val="18"/>
        </w:numPr>
        <w:rPr>
          <w:rFonts w:ascii="Calibri" w:hAnsi="Calibri"/>
          <w:color w:val="000000" w:themeColor="text1"/>
        </w:rPr>
      </w:pPr>
      <w:r w:rsidRPr="00A76818">
        <w:rPr>
          <w:rFonts w:ascii="Calibri" w:hAnsi="Calibri"/>
          <w:color w:val="000000" w:themeColor="text1"/>
        </w:rPr>
        <w:t xml:space="preserve">Access to emergency shelter is provided without preconditions, such as sobriety or ability to pay program fees. </w:t>
      </w:r>
    </w:p>
    <w:p w14:paraId="4E87621C" w14:textId="5DFD4DD3" w:rsidR="003D462C" w:rsidRPr="00A76818" w:rsidRDefault="003D462C">
      <w:pPr>
        <w:pStyle w:val="ListParagraph"/>
        <w:numPr>
          <w:ilvl w:val="0"/>
          <w:numId w:val="18"/>
        </w:numPr>
        <w:rPr>
          <w:rFonts w:ascii="Calibri" w:hAnsi="Calibri"/>
          <w:color w:val="000000" w:themeColor="text1"/>
        </w:rPr>
      </w:pPr>
      <w:r w:rsidRPr="00A76818">
        <w:rPr>
          <w:rFonts w:ascii="Calibri" w:hAnsi="Calibri"/>
          <w:color w:val="000000" w:themeColor="text1"/>
        </w:rPr>
        <w:t xml:space="preserve">Still, </w:t>
      </w:r>
      <w:r w:rsidR="0013511D" w:rsidRPr="00A76818">
        <w:rPr>
          <w:rFonts w:ascii="Calibri" w:hAnsi="Calibri"/>
          <w:color w:val="000000" w:themeColor="text1"/>
        </w:rPr>
        <w:t>household</w:t>
      </w:r>
      <w:r w:rsidRPr="00A76818">
        <w:rPr>
          <w:rFonts w:ascii="Calibri" w:hAnsi="Calibri"/>
          <w:color w:val="000000" w:themeColor="text1"/>
        </w:rPr>
        <w:t>s are encouraged to be actively working on re-housing plans and engaging in related assistance to overcome immediate and direct barriers to securing housing.</w:t>
      </w:r>
    </w:p>
    <w:p w14:paraId="0B23C6E2" w14:textId="77777777" w:rsidR="00BC6C26" w:rsidRPr="00A76818" w:rsidRDefault="00BC6C26" w:rsidP="000604EE">
      <w:pPr>
        <w:contextualSpacing/>
        <w:rPr>
          <w:rFonts w:ascii="Calibri" w:hAnsi="Calibri" w:cs="Calibri"/>
          <w:color w:val="000000" w:themeColor="text1"/>
        </w:rPr>
      </w:pPr>
    </w:p>
    <w:p w14:paraId="769187F7" w14:textId="3B446F79" w:rsidR="00BC6C26" w:rsidRPr="0058586C" w:rsidRDefault="00BC6C26">
      <w:pPr>
        <w:pStyle w:val="Heading2"/>
        <w:numPr>
          <w:ilvl w:val="0"/>
          <w:numId w:val="17"/>
        </w:numPr>
        <w:spacing w:before="0" w:line="240" w:lineRule="auto"/>
        <w:contextualSpacing/>
        <w:rPr>
          <w:color w:val="0070C0"/>
        </w:rPr>
      </w:pPr>
      <w:bookmarkStart w:id="135" w:name="_Toc124255043"/>
      <w:r w:rsidRPr="0058586C">
        <w:rPr>
          <w:color w:val="0070C0"/>
        </w:rPr>
        <w:t>Prioritization</w:t>
      </w:r>
      <w:bookmarkEnd w:id="135"/>
    </w:p>
    <w:p w14:paraId="671C0B8D" w14:textId="215E0408" w:rsidR="00056520" w:rsidRPr="00A76818" w:rsidRDefault="00BC6C26">
      <w:pPr>
        <w:pStyle w:val="ListParagraph"/>
        <w:numPr>
          <w:ilvl w:val="0"/>
          <w:numId w:val="19"/>
        </w:numPr>
        <w:rPr>
          <w:rFonts w:ascii="Calibri" w:hAnsi="Calibri" w:cs="Calibri"/>
          <w:color w:val="000000" w:themeColor="text1"/>
        </w:rPr>
      </w:pPr>
      <w:r w:rsidRPr="00A76818">
        <w:rPr>
          <w:rFonts w:ascii="Calibri" w:hAnsi="Calibri" w:cs="Calibri"/>
          <w:color w:val="000000" w:themeColor="text1"/>
        </w:rPr>
        <w:t>Access to emergency service</w:t>
      </w:r>
      <w:r w:rsidR="00056520" w:rsidRPr="00A76818">
        <w:rPr>
          <w:rFonts w:ascii="Calibri" w:hAnsi="Calibri" w:cs="Calibri"/>
          <w:color w:val="000000" w:themeColor="text1"/>
        </w:rPr>
        <w:t>s</w:t>
      </w:r>
      <w:r w:rsidRPr="00A76818">
        <w:rPr>
          <w:rFonts w:ascii="Calibri" w:hAnsi="Calibri" w:cs="Calibri"/>
          <w:color w:val="000000" w:themeColor="text1"/>
        </w:rPr>
        <w:t>, such as entry to emergency shelter, shall not be prioritized based on severity of service need or vulnerability</w:t>
      </w:r>
      <w:r w:rsidR="00D12C43" w:rsidRPr="00A76818">
        <w:rPr>
          <w:rFonts w:ascii="Calibri" w:hAnsi="Calibri" w:cs="Calibri"/>
          <w:color w:val="000000" w:themeColor="text1"/>
        </w:rPr>
        <w:t xml:space="preserve">. Instead, households are </w:t>
      </w:r>
      <w:r w:rsidR="00D67A35" w:rsidRPr="00A76818">
        <w:rPr>
          <w:rFonts w:ascii="Calibri" w:hAnsi="Calibri" w:cs="Calibri"/>
          <w:color w:val="000000" w:themeColor="text1"/>
        </w:rPr>
        <w:t xml:space="preserve">served on a first-come-first-served basis. </w:t>
      </w:r>
    </w:p>
    <w:p w14:paraId="14DD116A" w14:textId="34BFA039" w:rsidR="00D67A35" w:rsidRPr="00A76818" w:rsidRDefault="00D67A35">
      <w:pPr>
        <w:pStyle w:val="ListParagraph"/>
        <w:numPr>
          <w:ilvl w:val="1"/>
          <w:numId w:val="90"/>
        </w:numPr>
        <w:rPr>
          <w:rFonts w:ascii="Calibri" w:hAnsi="Calibri" w:cs="Calibri"/>
          <w:color w:val="000000" w:themeColor="text1"/>
        </w:rPr>
      </w:pPr>
      <w:r w:rsidRPr="00A76818">
        <w:rPr>
          <w:rFonts w:ascii="Calibri" w:hAnsi="Calibri" w:cs="Calibri"/>
          <w:color w:val="000000" w:themeColor="text1"/>
        </w:rPr>
        <w:t xml:space="preserve">Emergency shelters are not required to follow </w:t>
      </w:r>
      <w:r w:rsidR="006131E4" w:rsidRPr="00A76818">
        <w:rPr>
          <w:rFonts w:ascii="Calibri" w:hAnsi="Calibri" w:cs="Calibri"/>
          <w:color w:val="000000" w:themeColor="text1"/>
        </w:rPr>
        <w:t xml:space="preserve">any </w:t>
      </w:r>
      <w:r w:rsidRPr="00A76818">
        <w:rPr>
          <w:rFonts w:ascii="Calibri" w:hAnsi="Calibri" w:cs="Calibri"/>
          <w:color w:val="000000" w:themeColor="text1"/>
        </w:rPr>
        <w:t>established</w:t>
      </w:r>
      <w:r w:rsidR="006131E4" w:rsidRPr="00A76818">
        <w:rPr>
          <w:rFonts w:ascii="Calibri" w:hAnsi="Calibri" w:cs="Calibri"/>
          <w:color w:val="000000" w:themeColor="text1"/>
        </w:rPr>
        <w:t xml:space="preserve"> </w:t>
      </w:r>
      <w:r w:rsidRPr="00A76818">
        <w:rPr>
          <w:rFonts w:ascii="Calibri" w:hAnsi="Calibri" w:cs="Calibri"/>
          <w:color w:val="000000" w:themeColor="text1"/>
        </w:rPr>
        <w:t>prioritization criteria to place households in emergency shelte</w:t>
      </w:r>
      <w:r w:rsidR="006131E4" w:rsidRPr="00A76818">
        <w:rPr>
          <w:rFonts w:ascii="Calibri" w:hAnsi="Calibri" w:cs="Calibri"/>
          <w:color w:val="000000" w:themeColor="text1"/>
        </w:rPr>
        <w:t>r</w:t>
      </w:r>
      <w:r w:rsidRPr="00A76818">
        <w:rPr>
          <w:rFonts w:ascii="Calibri" w:hAnsi="Calibri" w:cs="Calibri"/>
          <w:color w:val="000000" w:themeColor="text1"/>
        </w:rPr>
        <w:t>.</w:t>
      </w:r>
    </w:p>
    <w:p w14:paraId="42D2A149" w14:textId="77777777" w:rsidR="00BC6C26" w:rsidRPr="00A76818" w:rsidRDefault="00BC6C26" w:rsidP="000604EE">
      <w:pPr>
        <w:contextualSpacing/>
        <w:rPr>
          <w:rFonts w:ascii="Calibri" w:hAnsi="Calibri" w:cs="Calibri"/>
          <w:color w:val="000000" w:themeColor="text1"/>
        </w:rPr>
      </w:pPr>
    </w:p>
    <w:p w14:paraId="494636E3" w14:textId="6512443D" w:rsidR="009B359D" w:rsidRPr="0058586C" w:rsidRDefault="009B359D">
      <w:pPr>
        <w:pStyle w:val="Heading2"/>
        <w:numPr>
          <w:ilvl w:val="0"/>
          <w:numId w:val="17"/>
        </w:numPr>
        <w:spacing w:before="0" w:line="240" w:lineRule="auto"/>
        <w:contextualSpacing/>
        <w:rPr>
          <w:color w:val="0070C0"/>
        </w:rPr>
      </w:pPr>
      <w:bookmarkStart w:id="136" w:name="_Toc124255044"/>
      <w:r w:rsidRPr="0058586C">
        <w:rPr>
          <w:color w:val="0070C0"/>
        </w:rPr>
        <w:t>Intake</w:t>
      </w:r>
      <w:bookmarkEnd w:id="136"/>
      <w:r w:rsidRPr="0058586C">
        <w:rPr>
          <w:color w:val="0070C0"/>
        </w:rPr>
        <w:t xml:space="preserve"> </w:t>
      </w:r>
    </w:p>
    <w:p w14:paraId="2672A2F1" w14:textId="35B43F7B" w:rsidR="009B359D" w:rsidRPr="00A76818" w:rsidRDefault="009B359D">
      <w:pPr>
        <w:pStyle w:val="ListParagraph"/>
        <w:numPr>
          <w:ilvl w:val="0"/>
          <w:numId w:val="21"/>
        </w:numPr>
        <w:rPr>
          <w:rFonts w:ascii="Calibri" w:hAnsi="Calibri"/>
          <w:color w:val="000000" w:themeColor="text1"/>
        </w:rPr>
      </w:pPr>
      <w:r w:rsidRPr="00A76818">
        <w:rPr>
          <w:rFonts w:ascii="Calibri" w:hAnsi="Calibri"/>
          <w:color w:val="000000" w:themeColor="text1"/>
        </w:rPr>
        <w:t xml:space="preserve">Overview </w:t>
      </w:r>
    </w:p>
    <w:p w14:paraId="3871642E" w14:textId="59594722" w:rsidR="003017CE" w:rsidRPr="00A76818" w:rsidRDefault="003017CE">
      <w:pPr>
        <w:pStyle w:val="ListParagraph"/>
        <w:numPr>
          <w:ilvl w:val="1"/>
          <w:numId w:val="91"/>
        </w:numPr>
        <w:rPr>
          <w:rFonts w:ascii="Calibri" w:hAnsi="Calibri"/>
          <w:color w:val="000000" w:themeColor="text1"/>
        </w:rPr>
      </w:pPr>
      <w:r w:rsidRPr="00A76818">
        <w:rPr>
          <w:rFonts w:ascii="Calibri" w:hAnsi="Calibri"/>
          <w:color w:val="000000" w:themeColor="text1"/>
        </w:rPr>
        <w:t>Referrals to emergency shelter come from HUB Stations or other Entry Points, as outlined in the</w:t>
      </w:r>
      <w:r w:rsidR="00CF123B">
        <w:rPr>
          <w:rFonts w:ascii="Calibri" w:hAnsi="Calibri"/>
          <w:color w:val="000000" w:themeColor="text1"/>
        </w:rPr>
        <w:t>se Written Standards</w:t>
      </w:r>
      <w:r w:rsidRPr="00A76818">
        <w:rPr>
          <w:rFonts w:ascii="Calibri" w:hAnsi="Calibri"/>
          <w:color w:val="000000" w:themeColor="text1"/>
        </w:rPr>
        <w:t xml:space="preserve">. </w:t>
      </w:r>
    </w:p>
    <w:p w14:paraId="5DB2D6EC" w14:textId="3FB88FD5" w:rsidR="009B359D" w:rsidRPr="00A76818" w:rsidRDefault="009B359D">
      <w:pPr>
        <w:pStyle w:val="ListParagraph"/>
        <w:numPr>
          <w:ilvl w:val="0"/>
          <w:numId w:val="21"/>
        </w:numPr>
        <w:rPr>
          <w:rFonts w:ascii="Calibri" w:hAnsi="Calibri"/>
          <w:color w:val="000000" w:themeColor="text1"/>
        </w:rPr>
      </w:pPr>
      <w:r w:rsidRPr="00A76818">
        <w:rPr>
          <w:rFonts w:ascii="Calibri" w:hAnsi="Calibri"/>
          <w:color w:val="000000" w:themeColor="text1"/>
        </w:rPr>
        <w:t>Coordinated Entry</w:t>
      </w:r>
    </w:p>
    <w:p w14:paraId="0BBA1C80" w14:textId="77777777" w:rsidR="003570C0" w:rsidRDefault="009B359D">
      <w:pPr>
        <w:pStyle w:val="ListParagraph"/>
        <w:numPr>
          <w:ilvl w:val="1"/>
          <w:numId w:val="92"/>
        </w:numPr>
        <w:rPr>
          <w:rFonts w:ascii="Calibri" w:hAnsi="Calibri"/>
          <w:color w:val="000000" w:themeColor="text1"/>
        </w:rPr>
      </w:pPr>
      <w:r w:rsidRPr="00A76818">
        <w:rPr>
          <w:rFonts w:ascii="Calibri" w:hAnsi="Calibri"/>
          <w:color w:val="000000" w:themeColor="text1"/>
        </w:rPr>
        <w:t>Local: Emergency shelters should strive to connect households to Coordinated Entry within 2 business days of intake (48 hours).</w:t>
      </w:r>
    </w:p>
    <w:p w14:paraId="4AF208A7" w14:textId="77777777" w:rsidR="003570C0" w:rsidRDefault="009B359D">
      <w:pPr>
        <w:pStyle w:val="ListParagraph"/>
        <w:numPr>
          <w:ilvl w:val="2"/>
          <w:numId w:val="92"/>
        </w:numPr>
        <w:rPr>
          <w:rFonts w:ascii="Calibri" w:hAnsi="Calibri"/>
          <w:color w:val="000000" w:themeColor="text1"/>
        </w:rPr>
      </w:pPr>
      <w:r w:rsidRPr="003570C0">
        <w:rPr>
          <w:rFonts w:ascii="Calibri" w:hAnsi="Calibri"/>
          <w:color w:val="000000" w:themeColor="text1"/>
        </w:rPr>
        <w:t>Depending on the circumstances, this connection may take more time. At a maximum, households should be connected to Coordinated Entry within 5 business days.</w:t>
      </w:r>
    </w:p>
    <w:p w14:paraId="52156A7C" w14:textId="56746921" w:rsidR="009B359D" w:rsidRPr="003570C0" w:rsidRDefault="009B359D">
      <w:pPr>
        <w:pStyle w:val="ListParagraph"/>
        <w:numPr>
          <w:ilvl w:val="1"/>
          <w:numId w:val="92"/>
        </w:numPr>
        <w:rPr>
          <w:rFonts w:ascii="Calibri" w:hAnsi="Calibri"/>
          <w:color w:val="000000" w:themeColor="text1"/>
        </w:rPr>
      </w:pPr>
      <w:r w:rsidRPr="003570C0">
        <w:rPr>
          <w:rFonts w:ascii="Calibri" w:hAnsi="Calibri"/>
          <w:color w:val="000000" w:themeColor="text1"/>
        </w:rPr>
        <w:lastRenderedPageBreak/>
        <w:t>Households are referred to other forms of homeless assistance</w:t>
      </w:r>
      <w:r w:rsidR="003017CE" w:rsidRPr="003570C0">
        <w:rPr>
          <w:rFonts w:ascii="Calibri" w:hAnsi="Calibri"/>
          <w:color w:val="000000" w:themeColor="text1"/>
        </w:rPr>
        <w:t xml:space="preserve"> as needed, according to the CSCoC’s Coordinated Entry System Policies and Procedures</w:t>
      </w:r>
      <w:r w:rsidR="000C7D2E" w:rsidRPr="003570C0">
        <w:rPr>
          <w:rFonts w:ascii="Calibri" w:hAnsi="Calibri"/>
          <w:color w:val="000000" w:themeColor="text1"/>
        </w:rPr>
        <w:t xml:space="preserve">. </w:t>
      </w:r>
    </w:p>
    <w:p w14:paraId="653C5F94" w14:textId="77777777" w:rsidR="009B359D" w:rsidRPr="00A76818" w:rsidRDefault="009B359D">
      <w:pPr>
        <w:pStyle w:val="ListParagraph"/>
        <w:numPr>
          <w:ilvl w:val="0"/>
          <w:numId w:val="21"/>
        </w:numPr>
        <w:rPr>
          <w:rFonts w:ascii="Calibri" w:hAnsi="Calibri"/>
          <w:color w:val="000000" w:themeColor="text1"/>
        </w:rPr>
      </w:pPr>
      <w:r w:rsidRPr="00A76818">
        <w:rPr>
          <w:rFonts w:ascii="Calibri" w:hAnsi="Calibri"/>
          <w:color w:val="000000" w:themeColor="text1"/>
        </w:rPr>
        <w:t xml:space="preserve">Procedure </w:t>
      </w:r>
    </w:p>
    <w:p w14:paraId="582BAD4C" w14:textId="77777777" w:rsidR="009B359D" w:rsidRPr="00A76818" w:rsidRDefault="009B359D">
      <w:pPr>
        <w:pStyle w:val="BodyText"/>
        <w:numPr>
          <w:ilvl w:val="0"/>
          <w:numId w:val="23"/>
        </w:numPr>
        <w:tabs>
          <w:tab w:val="left" w:pos="1684"/>
        </w:tabs>
        <w:ind w:right="262"/>
        <w:contextualSpacing/>
        <w:rPr>
          <w:rFonts w:ascii="Calibri" w:hAnsi="Calibri" w:cs="Times New Roman"/>
          <w:color w:val="000000" w:themeColor="text1"/>
          <w:sz w:val="24"/>
          <w:szCs w:val="24"/>
        </w:rPr>
      </w:pPr>
      <w:r w:rsidRPr="00A76818">
        <w:rPr>
          <w:rFonts w:ascii="Calibri" w:hAnsi="Calibri" w:cs="Times New Roman"/>
          <w:color w:val="000000" w:themeColor="text1"/>
          <w:sz w:val="24"/>
          <w:szCs w:val="24"/>
        </w:rPr>
        <w:t xml:space="preserve">Local: Service provider staff will complete the Intake Form, Statement of Confidentiality, Resident Contract, HMIS Release, and Health Screening Forms at intake. </w:t>
      </w:r>
    </w:p>
    <w:p w14:paraId="1EA4121B" w14:textId="77777777" w:rsidR="009B359D" w:rsidRPr="00A76818" w:rsidRDefault="009B359D">
      <w:pPr>
        <w:pStyle w:val="BodyText"/>
        <w:numPr>
          <w:ilvl w:val="0"/>
          <w:numId w:val="23"/>
        </w:numPr>
        <w:tabs>
          <w:tab w:val="left" w:pos="1684"/>
        </w:tabs>
        <w:ind w:right="262"/>
        <w:contextualSpacing/>
        <w:rPr>
          <w:rFonts w:ascii="Calibri" w:hAnsi="Calibri" w:cs="Times New Roman"/>
          <w:color w:val="000000" w:themeColor="text1"/>
          <w:sz w:val="24"/>
          <w:szCs w:val="24"/>
        </w:rPr>
      </w:pPr>
      <w:r w:rsidRPr="00A76818">
        <w:rPr>
          <w:rFonts w:ascii="Calibri" w:hAnsi="Calibri" w:cs="Times New Roman"/>
          <w:color w:val="000000" w:themeColor="text1"/>
          <w:sz w:val="24"/>
          <w:szCs w:val="24"/>
        </w:rPr>
        <w:t xml:space="preserve">Local: Service provider staff will fill out a Housing Stability Plan with each household with the goal of achieving independent housing stability. </w:t>
      </w:r>
    </w:p>
    <w:p w14:paraId="175752F4" w14:textId="77777777" w:rsidR="009B359D" w:rsidRPr="00A76818" w:rsidRDefault="009B359D">
      <w:pPr>
        <w:pStyle w:val="BodyText"/>
        <w:numPr>
          <w:ilvl w:val="1"/>
          <w:numId w:val="23"/>
        </w:numPr>
        <w:tabs>
          <w:tab w:val="left" w:pos="1684"/>
        </w:tabs>
        <w:ind w:right="262"/>
        <w:contextualSpacing/>
        <w:rPr>
          <w:rFonts w:ascii="Calibri" w:hAnsi="Calibri" w:cs="Times New Roman"/>
          <w:color w:val="000000" w:themeColor="text1"/>
          <w:sz w:val="24"/>
          <w:szCs w:val="24"/>
        </w:rPr>
      </w:pPr>
      <w:r w:rsidRPr="00A76818">
        <w:rPr>
          <w:rFonts w:ascii="Calibri" w:hAnsi="Calibri" w:cs="Times New Roman"/>
          <w:color w:val="000000" w:themeColor="text1"/>
          <w:sz w:val="24"/>
          <w:szCs w:val="24"/>
        </w:rPr>
        <w:t>The Housing Stability Plan process is client-centered and should include considerations of (1) household size, (2) household preference for location, and (3) household preference for housing type (e.g., shared vs. individual).</w:t>
      </w:r>
    </w:p>
    <w:p w14:paraId="78C21C2E" w14:textId="77777777" w:rsidR="009B359D" w:rsidRPr="00A76818" w:rsidRDefault="009B359D">
      <w:pPr>
        <w:pStyle w:val="BodyText"/>
        <w:numPr>
          <w:ilvl w:val="0"/>
          <w:numId w:val="23"/>
        </w:numPr>
        <w:tabs>
          <w:tab w:val="left" w:pos="1684"/>
        </w:tabs>
        <w:ind w:right="262"/>
        <w:contextualSpacing/>
        <w:rPr>
          <w:rFonts w:ascii="Calibri" w:hAnsi="Calibri" w:cs="Times New Roman"/>
          <w:color w:val="000000" w:themeColor="text1"/>
          <w:sz w:val="24"/>
          <w:szCs w:val="24"/>
        </w:rPr>
      </w:pPr>
      <w:r w:rsidRPr="00A76818">
        <w:rPr>
          <w:rFonts w:ascii="Calibri" w:hAnsi="Calibri" w:cs="Times New Roman"/>
          <w:color w:val="000000" w:themeColor="text1"/>
          <w:sz w:val="24"/>
          <w:szCs w:val="24"/>
        </w:rPr>
        <w:t>Before and after developing a Housing Stability Plan, households will be provided resources as necessary to meet their basic, legal, and financial needs and support the goal of achieving housing stability.</w:t>
      </w:r>
    </w:p>
    <w:p w14:paraId="56E57EA6" w14:textId="77777777" w:rsidR="009B359D" w:rsidRPr="00A76818" w:rsidRDefault="009B359D">
      <w:pPr>
        <w:pStyle w:val="BodyText"/>
        <w:numPr>
          <w:ilvl w:val="0"/>
          <w:numId w:val="23"/>
        </w:numPr>
        <w:tabs>
          <w:tab w:val="left" w:pos="1684"/>
        </w:tabs>
        <w:ind w:right="262"/>
        <w:contextualSpacing/>
        <w:rPr>
          <w:rStyle w:val="Hyperlink"/>
          <w:rFonts w:ascii="Calibri" w:hAnsi="Calibri" w:cs="Times New Roman"/>
          <w:color w:val="000000" w:themeColor="text1"/>
          <w:sz w:val="24"/>
          <w:szCs w:val="24"/>
          <w:u w:val="none"/>
        </w:rPr>
      </w:pPr>
      <w:r w:rsidRPr="00A76818">
        <w:rPr>
          <w:rStyle w:val="Hyperlink"/>
          <w:rFonts w:ascii="Calibri" w:hAnsi="Calibri" w:cs="Times New Roman"/>
          <w:color w:val="000000" w:themeColor="text1"/>
          <w:sz w:val="24"/>
          <w:szCs w:val="24"/>
          <w:u w:val="none"/>
        </w:rPr>
        <w:t xml:space="preserve">At a minimum, each household will be reassessed after 30 days in the shelter, to match them with appropriate services as their circumstances change. </w:t>
      </w:r>
    </w:p>
    <w:p w14:paraId="3D387E92" w14:textId="77777777" w:rsidR="009B359D" w:rsidRPr="00A76818" w:rsidRDefault="009B359D">
      <w:pPr>
        <w:pStyle w:val="ListParagraph"/>
        <w:numPr>
          <w:ilvl w:val="0"/>
          <w:numId w:val="21"/>
        </w:numPr>
        <w:rPr>
          <w:rFonts w:ascii="Calibri" w:hAnsi="Calibri"/>
          <w:color w:val="000000" w:themeColor="text1"/>
        </w:rPr>
      </w:pPr>
      <w:r w:rsidRPr="00A76818">
        <w:rPr>
          <w:rFonts w:ascii="Calibri" w:hAnsi="Calibri"/>
          <w:color w:val="000000" w:themeColor="text1"/>
        </w:rPr>
        <w:t>Local Universal Forms – Each of the following forms should be used with each household unless otherwise noted.</w:t>
      </w:r>
    </w:p>
    <w:p w14:paraId="3B5C7FD4" w14:textId="77777777" w:rsidR="009B359D" w:rsidRPr="00A76818" w:rsidRDefault="009B359D">
      <w:pPr>
        <w:pStyle w:val="ListParagraph"/>
        <w:numPr>
          <w:ilvl w:val="0"/>
          <w:numId w:val="24"/>
        </w:numPr>
        <w:rPr>
          <w:rFonts w:ascii="Calibri" w:hAnsi="Calibri"/>
          <w:color w:val="000000" w:themeColor="text1"/>
        </w:rPr>
      </w:pPr>
      <w:r w:rsidRPr="00A76818">
        <w:rPr>
          <w:rFonts w:ascii="Calibri" w:hAnsi="Calibri"/>
          <w:color w:val="000000" w:themeColor="text1"/>
        </w:rPr>
        <w:t>ATCAA Emergency Shelter Packet</w:t>
      </w:r>
    </w:p>
    <w:p w14:paraId="66A0CB38" w14:textId="77777777" w:rsidR="009B359D" w:rsidRPr="00A76818" w:rsidRDefault="009B359D">
      <w:pPr>
        <w:pStyle w:val="ListParagraph"/>
        <w:numPr>
          <w:ilvl w:val="1"/>
          <w:numId w:val="24"/>
        </w:numPr>
        <w:rPr>
          <w:rFonts w:ascii="Calibri" w:hAnsi="Calibri"/>
          <w:color w:val="000000" w:themeColor="text1"/>
        </w:rPr>
      </w:pPr>
      <w:r w:rsidRPr="00A76818">
        <w:rPr>
          <w:rFonts w:ascii="Calibri" w:hAnsi="Calibri"/>
          <w:color w:val="000000" w:themeColor="text1"/>
        </w:rPr>
        <w:t>Intake Form</w:t>
      </w:r>
    </w:p>
    <w:p w14:paraId="41A11011" w14:textId="77777777" w:rsidR="009B359D" w:rsidRPr="00A76818" w:rsidRDefault="009B359D">
      <w:pPr>
        <w:pStyle w:val="ListParagraph"/>
        <w:numPr>
          <w:ilvl w:val="1"/>
          <w:numId w:val="24"/>
        </w:numPr>
        <w:rPr>
          <w:rFonts w:ascii="Calibri" w:hAnsi="Calibri"/>
          <w:color w:val="000000" w:themeColor="text1"/>
        </w:rPr>
      </w:pPr>
      <w:r w:rsidRPr="00A76818">
        <w:rPr>
          <w:rFonts w:ascii="Calibri" w:hAnsi="Calibri"/>
          <w:color w:val="000000" w:themeColor="text1"/>
        </w:rPr>
        <w:t>Statement of Confidentiality</w:t>
      </w:r>
    </w:p>
    <w:p w14:paraId="5AF22528" w14:textId="77777777" w:rsidR="009B359D" w:rsidRPr="00A76818" w:rsidRDefault="009B359D">
      <w:pPr>
        <w:pStyle w:val="ListParagraph"/>
        <w:numPr>
          <w:ilvl w:val="1"/>
          <w:numId w:val="24"/>
        </w:numPr>
        <w:rPr>
          <w:rFonts w:ascii="Calibri" w:hAnsi="Calibri"/>
          <w:color w:val="000000" w:themeColor="text1"/>
        </w:rPr>
      </w:pPr>
      <w:r w:rsidRPr="00A76818">
        <w:rPr>
          <w:rFonts w:ascii="Calibri" w:hAnsi="Calibri"/>
          <w:color w:val="000000" w:themeColor="text1"/>
        </w:rPr>
        <w:t>Resident Contract</w:t>
      </w:r>
    </w:p>
    <w:p w14:paraId="1688463A" w14:textId="77777777" w:rsidR="009B359D" w:rsidRPr="00A76818" w:rsidRDefault="009B359D">
      <w:pPr>
        <w:pStyle w:val="ListParagraph"/>
        <w:numPr>
          <w:ilvl w:val="1"/>
          <w:numId w:val="24"/>
        </w:numPr>
        <w:rPr>
          <w:rFonts w:ascii="Calibri" w:hAnsi="Calibri"/>
          <w:color w:val="000000" w:themeColor="text1"/>
        </w:rPr>
      </w:pPr>
      <w:r w:rsidRPr="00A76818">
        <w:rPr>
          <w:rFonts w:ascii="Calibri" w:hAnsi="Calibri"/>
          <w:color w:val="000000" w:themeColor="text1"/>
        </w:rPr>
        <w:t>HMIS Release and Information Collection forms</w:t>
      </w:r>
    </w:p>
    <w:p w14:paraId="04FAD89F" w14:textId="77777777" w:rsidR="009B359D" w:rsidRPr="00A76818" w:rsidRDefault="009B359D">
      <w:pPr>
        <w:pStyle w:val="ListParagraph"/>
        <w:numPr>
          <w:ilvl w:val="1"/>
          <w:numId w:val="24"/>
        </w:numPr>
        <w:rPr>
          <w:rFonts w:ascii="Calibri" w:hAnsi="Calibri"/>
          <w:color w:val="000000" w:themeColor="text1"/>
        </w:rPr>
      </w:pPr>
      <w:r w:rsidRPr="00A76818">
        <w:rPr>
          <w:rFonts w:ascii="Calibri" w:hAnsi="Calibri"/>
          <w:color w:val="000000" w:themeColor="text1"/>
        </w:rPr>
        <w:t>Health Screening forms</w:t>
      </w:r>
    </w:p>
    <w:p w14:paraId="2654EC0F" w14:textId="77777777" w:rsidR="009B359D" w:rsidRPr="00A76818" w:rsidRDefault="009B359D">
      <w:pPr>
        <w:pStyle w:val="ListParagraph"/>
        <w:numPr>
          <w:ilvl w:val="1"/>
          <w:numId w:val="24"/>
        </w:numPr>
        <w:rPr>
          <w:rFonts w:ascii="Calibri" w:hAnsi="Calibri"/>
          <w:color w:val="000000" w:themeColor="text1"/>
        </w:rPr>
      </w:pPr>
      <w:r w:rsidRPr="00A76818">
        <w:rPr>
          <w:rFonts w:ascii="Calibri" w:hAnsi="Calibri"/>
          <w:color w:val="000000" w:themeColor="text1"/>
        </w:rPr>
        <w:t>Program Rules</w:t>
      </w:r>
    </w:p>
    <w:p w14:paraId="22F0B9F1" w14:textId="77777777" w:rsidR="009B359D" w:rsidRPr="00A76818" w:rsidRDefault="009B359D">
      <w:pPr>
        <w:pStyle w:val="ListParagraph"/>
        <w:numPr>
          <w:ilvl w:val="1"/>
          <w:numId w:val="24"/>
        </w:numPr>
        <w:rPr>
          <w:rFonts w:ascii="Calibri" w:hAnsi="Calibri"/>
          <w:color w:val="000000" w:themeColor="text1"/>
        </w:rPr>
      </w:pPr>
      <w:r w:rsidRPr="00A76818">
        <w:rPr>
          <w:rFonts w:ascii="Calibri" w:hAnsi="Calibri"/>
          <w:color w:val="000000" w:themeColor="text1"/>
        </w:rPr>
        <w:t>School Attendance Agreement</w:t>
      </w:r>
    </w:p>
    <w:p w14:paraId="081A18C3" w14:textId="77777777" w:rsidR="009B359D" w:rsidRPr="00A76818" w:rsidRDefault="009B359D">
      <w:pPr>
        <w:pStyle w:val="ListParagraph"/>
        <w:numPr>
          <w:ilvl w:val="1"/>
          <w:numId w:val="24"/>
        </w:numPr>
        <w:rPr>
          <w:rFonts w:ascii="Calibri" w:hAnsi="Calibri"/>
          <w:color w:val="000000" w:themeColor="text1"/>
        </w:rPr>
      </w:pPr>
      <w:r w:rsidRPr="00A76818">
        <w:rPr>
          <w:rFonts w:ascii="Calibri" w:hAnsi="Calibri"/>
          <w:color w:val="000000" w:themeColor="text1"/>
        </w:rPr>
        <w:t>Personal Property &amp; Injury Waiver</w:t>
      </w:r>
    </w:p>
    <w:p w14:paraId="6C34ABE2" w14:textId="77777777" w:rsidR="009B359D" w:rsidRPr="00A76818" w:rsidRDefault="009B359D">
      <w:pPr>
        <w:pStyle w:val="ListParagraph"/>
        <w:numPr>
          <w:ilvl w:val="1"/>
          <w:numId w:val="24"/>
        </w:numPr>
        <w:rPr>
          <w:rFonts w:ascii="Calibri" w:hAnsi="Calibri"/>
          <w:color w:val="000000" w:themeColor="text1"/>
        </w:rPr>
      </w:pPr>
      <w:r w:rsidRPr="00A76818">
        <w:rPr>
          <w:rFonts w:ascii="Calibri" w:hAnsi="Calibri"/>
          <w:color w:val="000000" w:themeColor="text1"/>
        </w:rPr>
        <w:t>Housing Stability Plan</w:t>
      </w:r>
    </w:p>
    <w:p w14:paraId="3BB2DC09" w14:textId="77777777" w:rsidR="009B359D" w:rsidRPr="00A76818" w:rsidRDefault="009B359D">
      <w:pPr>
        <w:pStyle w:val="ListParagraph"/>
        <w:numPr>
          <w:ilvl w:val="1"/>
          <w:numId w:val="24"/>
        </w:numPr>
        <w:rPr>
          <w:rFonts w:ascii="Calibri" w:hAnsi="Calibri"/>
          <w:color w:val="000000" w:themeColor="text1"/>
        </w:rPr>
      </w:pPr>
      <w:r w:rsidRPr="00A76818">
        <w:rPr>
          <w:rFonts w:ascii="Calibri" w:hAnsi="Calibri"/>
          <w:color w:val="000000" w:themeColor="text1"/>
        </w:rPr>
        <w:t>Needs Assessment</w:t>
      </w:r>
    </w:p>
    <w:p w14:paraId="71F793CC" w14:textId="75D9CDC9" w:rsidR="009B359D" w:rsidRPr="00A76818" w:rsidRDefault="009B359D">
      <w:pPr>
        <w:pStyle w:val="ListParagraph"/>
        <w:numPr>
          <w:ilvl w:val="1"/>
          <w:numId w:val="24"/>
        </w:numPr>
        <w:rPr>
          <w:rFonts w:ascii="Calibri" w:hAnsi="Calibri"/>
          <w:color w:val="000000" w:themeColor="text1"/>
        </w:rPr>
      </w:pPr>
      <w:r w:rsidRPr="00A76818">
        <w:rPr>
          <w:rFonts w:ascii="Calibri" w:hAnsi="Calibri"/>
          <w:color w:val="000000" w:themeColor="text1"/>
        </w:rPr>
        <w:t>Satisfaction Survey</w:t>
      </w:r>
    </w:p>
    <w:p w14:paraId="5D6BF2E2" w14:textId="5A1038C1" w:rsidR="009B359D" w:rsidRDefault="009B359D" w:rsidP="000604EE">
      <w:pPr>
        <w:contextualSpacing/>
        <w:rPr>
          <w:rFonts w:ascii="Calibri" w:hAnsi="Calibri" w:cs="Calibri"/>
          <w:color w:val="000000" w:themeColor="text1"/>
        </w:rPr>
      </w:pPr>
    </w:p>
    <w:p w14:paraId="3B5E3122" w14:textId="77777777" w:rsidR="003D267D" w:rsidRPr="00A76818" w:rsidRDefault="003D267D" w:rsidP="000604EE">
      <w:pPr>
        <w:contextualSpacing/>
        <w:rPr>
          <w:rFonts w:ascii="Calibri" w:hAnsi="Calibri" w:cs="Calibri"/>
          <w:color w:val="000000" w:themeColor="text1"/>
        </w:rPr>
      </w:pPr>
    </w:p>
    <w:p w14:paraId="25823AD9" w14:textId="36CF4992" w:rsidR="00BC6C26" w:rsidRPr="0058586C" w:rsidRDefault="00BC6C26">
      <w:pPr>
        <w:pStyle w:val="Heading2"/>
        <w:numPr>
          <w:ilvl w:val="0"/>
          <w:numId w:val="17"/>
        </w:numPr>
        <w:spacing w:before="0" w:line="240" w:lineRule="auto"/>
        <w:contextualSpacing/>
        <w:rPr>
          <w:color w:val="0070C0"/>
        </w:rPr>
      </w:pPr>
      <w:bookmarkStart w:id="137" w:name="_Toc124255045"/>
      <w:r w:rsidRPr="0058586C">
        <w:rPr>
          <w:color w:val="0070C0"/>
        </w:rPr>
        <w:t>Housing Requirements</w:t>
      </w:r>
      <w:bookmarkEnd w:id="137"/>
      <w:r w:rsidRPr="0058586C">
        <w:rPr>
          <w:color w:val="0070C0"/>
        </w:rPr>
        <w:t xml:space="preserve"> </w:t>
      </w:r>
    </w:p>
    <w:p w14:paraId="10185BB2" w14:textId="50BEF84C" w:rsidR="00BC6C26" w:rsidRPr="00A76818" w:rsidRDefault="00BC6C26">
      <w:pPr>
        <w:pStyle w:val="ListParagraph"/>
        <w:numPr>
          <w:ilvl w:val="0"/>
          <w:numId w:val="20"/>
        </w:numPr>
        <w:rPr>
          <w:rFonts w:ascii="Calibri" w:hAnsi="Calibri"/>
          <w:color w:val="000000" w:themeColor="text1"/>
        </w:rPr>
      </w:pPr>
      <w:r w:rsidRPr="00A76818">
        <w:rPr>
          <w:rFonts w:ascii="Calibri" w:hAnsi="Calibri"/>
          <w:color w:val="000000" w:themeColor="text1"/>
        </w:rPr>
        <w:t>Projects that receive ESG funds for shelter operations must comply with minimum safety, sanitation and privacy standards as outlined in 24 CFR § 576.403. Inspections to ensure compliance must be done before assistance is provided and at least annually.</w:t>
      </w:r>
    </w:p>
    <w:p w14:paraId="49485DD7" w14:textId="72D3FEF2" w:rsidR="00D67A35" w:rsidRPr="00A76818" w:rsidRDefault="00D67A35">
      <w:pPr>
        <w:pStyle w:val="ListParagraph"/>
        <w:numPr>
          <w:ilvl w:val="0"/>
          <w:numId w:val="20"/>
        </w:numPr>
        <w:rPr>
          <w:rFonts w:ascii="Calibri" w:hAnsi="Calibri"/>
          <w:color w:val="000000" w:themeColor="text1"/>
        </w:rPr>
      </w:pPr>
      <w:r w:rsidRPr="00A76818">
        <w:rPr>
          <w:rFonts w:ascii="Calibri" w:hAnsi="Calibri"/>
          <w:color w:val="000000" w:themeColor="text1"/>
        </w:rPr>
        <w:t xml:space="preserve">All emergency shelters must also comply with the </w:t>
      </w:r>
      <w:r w:rsidR="000B73C4" w:rsidRPr="00A76818">
        <w:rPr>
          <w:rFonts w:ascii="Calibri" w:hAnsi="Calibri"/>
          <w:color w:val="000000" w:themeColor="text1"/>
        </w:rPr>
        <w:t>“H</w:t>
      </w:r>
      <w:r w:rsidRPr="00A76818">
        <w:rPr>
          <w:rFonts w:ascii="Calibri" w:hAnsi="Calibri"/>
          <w:color w:val="000000" w:themeColor="text1"/>
        </w:rPr>
        <w:t xml:space="preserve">ousing </w:t>
      </w:r>
      <w:r w:rsidR="000B73C4" w:rsidRPr="00A76818">
        <w:rPr>
          <w:rFonts w:ascii="Calibri" w:hAnsi="Calibri"/>
          <w:color w:val="000000" w:themeColor="text1"/>
        </w:rPr>
        <w:t>R</w:t>
      </w:r>
      <w:r w:rsidRPr="00A76818">
        <w:rPr>
          <w:rFonts w:ascii="Calibri" w:hAnsi="Calibri"/>
          <w:color w:val="000000" w:themeColor="text1"/>
        </w:rPr>
        <w:t>equirements</w:t>
      </w:r>
      <w:r w:rsidR="000B73C4" w:rsidRPr="00A76818">
        <w:rPr>
          <w:rFonts w:ascii="Calibri" w:hAnsi="Calibri"/>
          <w:color w:val="000000" w:themeColor="text1"/>
        </w:rPr>
        <w:t>”</w:t>
      </w:r>
      <w:r w:rsidRPr="00A76818">
        <w:rPr>
          <w:rFonts w:ascii="Calibri" w:hAnsi="Calibri"/>
          <w:color w:val="000000" w:themeColor="text1"/>
        </w:rPr>
        <w:t xml:space="preserve"> </w:t>
      </w:r>
      <w:r w:rsidR="00E72448">
        <w:rPr>
          <w:rFonts w:ascii="Calibri" w:hAnsi="Calibri"/>
          <w:color w:val="000000" w:themeColor="text1"/>
        </w:rPr>
        <w:t>(pg</w:t>
      </w:r>
      <w:r w:rsidRPr="00A76818">
        <w:rPr>
          <w:rFonts w:ascii="Calibri" w:hAnsi="Calibri"/>
          <w:color w:val="000000" w:themeColor="text1"/>
        </w:rPr>
        <w:t xml:space="preserve">. </w:t>
      </w:r>
      <w:r w:rsidR="00CC61AB">
        <w:rPr>
          <w:rFonts w:ascii="Calibri" w:hAnsi="Calibri"/>
          <w:color w:val="000000" w:themeColor="text1"/>
        </w:rPr>
        <w:t>9-13</w:t>
      </w:r>
      <w:r w:rsidR="00E72448">
        <w:rPr>
          <w:rFonts w:ascii="Calibri" w:hAnsi="Calibri"/>
          <w:color w:val="000000" w:themeColor="text1"/>
        </w:rPr>
        <w:t xml:space="preserve">), </w:t>
      </w:r>
      <w:r w:rsidR="00D12C43" w:rsidRPr="00A76818">
        <w:rPr>
          <w:rFonts w:ascii="Calibri" w:hAnsi="Calibri"/>
          <w:color w:val="000000" w:themeColor="text1"/>
        </w:rPr>
        <w:t>as applicable</w:t>
      </w:r>
      <w:r w:rsidRPr="00A76818">
        <w:rPr>
          <w:rFonts w:ascii="Calibri" w:hAnsi="Calibri"/>
          <w:color w:val="000000" w:themeColor="text1"/>
        </w:rPr>
        <w:t xml:space="preserve">. </w:t>
      </w:r>
    </w:p>
    <w:p w14:paraId="11826C5F" w14:textId="15B07047" w:rsidR="00BC6C26" w:rsidRPr="00A76818" w:rsidRDefault="00BC6C26" w:rsidP="000604EE">
      <w:pPr>
        <w:pStyle w:val="ListParagraph"/>
        <w:ind w:left="1440"/>
        <w:rPr>
          <w:rFonts w:ascii="Calibri" w:hAnsi="Calibri"/>
          <w:color w:val="000000" w:themeColor="text1"/>
        </w:rPr>
      </w:pPr>
    </w:p>
    <w:p w14:paraId="562F4BC7" w14:textId="7321921A" w:rsidR="008201B3" w:rsidRPr="0058586C" w:rsidRDefault="00BC6C26">
      <w:pPr>
        <w:pStyle w:val="Heading2"/>
        <w:numPr>
          <w:ilvl w:val="0"/>
          <w:numId w:val="17"/>
        </w:numPr>
        <w:spacing w:before="0" w:line="240" w:lineRule="auto"/>
        <w:contextualSpacing/>
        <w:rPr>
          <w:color w:val="0070C0"/>
        </w:rPr>
      </w:pPr>
      <w:bookmarkStart w:id="138" w:name="_Toc124255046"/>
      <w:r w:rsidRPr="0058586C">
        <w:rPr>
          <w:color w:val="0070C0"/>
        </w:rPr>
        <w:t>Services Requirements</w:t>
      </w:r>
      <w:bookmarkEnd w:id="138"/>
      <w:r w:rsidRPr="0058586C">
        <w:rPr>
          <w:color w:val="0070C0"/>
        </w:rPr>
        <w:t xml:space="preserve"> </w:t>
      </w:r>
    </w:p>
    <w:p w14:paraId="0CFC959C" w14:textId="19A918E4" w:rsidR="008201B3" w:rsidRPr="00A76818" w:rsidRDefault="008201B3">
      <w:pPr>
        <w:pStyle w:val="ListParagraph"/>
        <w:numPr>
          <w:ilvl w:val="0"/>
          <w:numId w:val="46"/>
        </w:numPr>
        <w:rPr>
          <w:rFonts w:ascii="Calibri" w:hAnsi="Calibri"/>
          <w:color w:val="000000" w:themeColor="text1"/>
        </w:rPr>
      </w:pPr>
      <w:r w:rsidRPr="00A76818">
        <w:rPr>
          <w:rFonts w:ascii="Calibri" w:hAnsi="Calibri"/>
          <w:color w:val="000000" w:themeColor="text1"/>
        </w:rPr>
        <w:t xml:space="preserve">Overview </w:t>
      </w:r>
    </w:p>
    <w:p w14:paraId="072CA7EA" w14:textId="0A85B53F" w:rsidR="008201B3" w:rsidRPr="00A76818" w:rsidRDefault="008201B3">
      <w:pPr>
        <w:pStyle w:val="ListParagraph"/>
        <w:numPr>
          <w:ilvl w:val="1"/>
          <w:numId w:val="93"/>
        </w:numPr>
        <w:rPr>
          <w:rFonts w:ascii="Calibri" w:hAnsi="Calibri"/>
          <w:color w:val="000000" w:themeColor="text1"/>
        </w:rPr>
      </w:pPr>
      <w:r w:rsidRPr="00A76818">
        <w:rPr>
          <w:rFonts w:ascii="Calibri" w:hAnsi="Calibri"/>
          <w:color w:val="000000" w:themeColor="text1"/>
        </w:rPr>
        <w:t xml:space="preserve">Services will be provided for each household that cannot exit to a permanent housing destination on their own. </w:t>
      </w:r>
    </w:p>
    <w:p w14:paraId="4686F71F" w14:textId="4358FEDE" w:rsidR="008201B3" w:rsidRPr="00A76818" w:rsidRDefault="008201B3">
      <w:pPr>
        <w:pStyle w:val="ListParagraph"/>
        <w:numPr>
          <w:ilvl w:val="1"/>
          <w:numId w:val="93"/>
        </w:numPr>
        <w:rPr>
          <w:rFonts w:ascii="Calibri" w:hAnsi="Calibri"/>
          <w:color w:val="000000" w:themeColor="text1"/>
        </w:rPr>
      </w:pPr>
      <w:r w:rsidRPr="00A76818">
        <w:rPr>
          <w:rFonts w:ascii="Calibri" w:hAnsi="Calibri"/>
          <w:color w:val="000000" w:themeColor="text1"/>
        </w:rPr>
        <w:t>Services will be provided without additional preconditions (e.g., employment or sobriety) and with the understanding that housing may cost greater than 30% of housing income.</w:t>
      </w:r>
    </w:p>
    <w:p w14:paraId="5215F148" w14:textId="77777777" w:rsidR="003570C0" w:rsidRDefault="00990283">
      <w:pPr>
        <w:pStyle w:val="ListParagraph"/>
        <w:numPr>
          <w:ilvl w:val="0"/>
          <w:numId w:val="46"/>
        </w:numPr>
        <w:rPr>
          <w:rFonts w:ascii="Calibri" w:hAnsi="Calibri"/>
          <w:color w:val="000000" w:themeColor="text1"/>
        </w:rPr>
      </w:pPr>
      <w:r w:rsidRPr="00A76818">
        <w:rPr>
          <w:rFonts w:ascii="Calibri" w:hAnsi="Calibri"/>
          <w:color w:val="000000" w:themeColor="text1"/>
        </w:rPr>
        <w:t>Coordinated Entry</w:t>
      </w:r>
    </w:p>
    <w:p w14:paraId="26B710F7" w14:textId="5CA57212" w:rsidR="003570C0" w:rsidRPr="003570C0" w:rsidRDefault="00990283">
      <w:pPr>
        <w:pStyle w:val="ListParagraph"/>
        <w:numPr>
          <w:ilvl w:val="1"/>
          <w:numId w:val="94"/>
        </w:numPr>
        <w:rPr>
          <w:rFonts w:ascii="Calibri" w:hAnsi="Calibri"/>
          <w:color w:val="000000" w:themeColor="text1"/>
        </w:rPr>
      </w:pPr>
      <w:r w:rsidRPr="003570C0">
        <w:rPr>
          <w:rFonts w:ascii="Calibri" w:hAnsi="Calibri"/>
          <w:color w:val="000000" w:themeColor="text1"/>
        </w:rPr>
        <w:t>Local: Emergency shelters should strive to connect households to Coordinated Entry within 2 business days of intake (48 hours).</w:t>
      </w:r>
    </w:p>
    <w:p w14:paraId="66F58D08" w14:textId="41C7BD54" w:rsidR="00990283" w:rsidRPr="003570C0" w:rsidRDefault="00990283">
      <w:pPr>
        <w:pStyle w:val="ListParagraph"/>
        <w:numPr>
          <w:ilvl w:val="3"/>
          <w:numId w:val="95"/>
        </w:numPr>
        <w:rPr>
          <w:rFonts w:ascii="Calibri" w:hAnsi="Calibri"/>
          <w:color w:val="000000" w:themeColor="text1"/>
        </w:rPr>
      </w:pPr>
      <w:r w:rsidRPr="003570C0">
        <w:rPr>
          <w:rFonts w:ascii="Calibri" w:hAnsi="Calibri"/>
          <w:color w:val="000000" w:themeColor="text1"/>
        </w:rPr>
        <w:t>Depending on the circumstances, this connection may take more time. At a maximum, households should be connected to Coordinated Entry within 5 business days.</w:t>
      </w:r>
    </w:p>
    <w:p w14:paraId="2B64DBC2" w14:textId="77777777" w:rsidR="003017CE" w:rsidRPr="00A76818" w:rsidRDefault="00BC6C26">
      <w:pPr>
        <w:pStyle w:val="ListParagraph"/>
        <w:numPr>
          <w:ilvl w:val="0"/>
          <w:numId w:val="46"/>
        </w:numPr>
        <w:rPr>
          <w:rFonts w:ascii="Calibri" w:hAnsi="Calibri"/>
          <w:color w:val="000000" w:themeColor="text1"/>
        </w:rPr>
      </w:pPr>
      <w:r w:rsidRPr="00A76818">
        <w:rPr>
          <w:rFonts w:ascii="Calibri" w:hAnsi="Calibri"/>
          <w:color w:val="000000" w:themeColor="text1"/>
        </w:rPr>
        <w:t xml:space="preserve">Procedure </w:t>
      </w:r>
    </w:p>
    <w:p w14:paraId="3D517F85" w14:textId="42AD506F" w:rsidR="00F642B9" w:rsidRPr="00A76818" w:rsidRDefault="00C777B8">
      <w:pPr>
        <w:pStyle w:val="ListParagraph"/>
        <w:numPr>
          <w:ilvl w:val="1"/>
          <w:numId w:val="96"/>
        </w:numPr>
        <w:rPr>
          <w:rFonts w:ascii="Calibri" w:hAnsi="Calibri"/>
          <w:color w:val="000000" w:themeColor="text1"/>
        </w:rPr>
      </w:pPr>
      <w:r>
        <w:rPr>
          <w:rStyle w:val="Hyperlink"/>
          <w:rFonts w:ascii="Calibri" w:hAnsi="Calibri"/>
          <w:color w:val="000000" w:themeColor="text1"/>
          <w:u w:val="none"/>
        </w:rPr>
        <w:t>P</w:t>
      </w:r>
      <w:r w:rsidRPr="00A76818">
        <w:rPr>
          <w:rStyle w:val="Hyperlink"/>
          <w:rFonts w:ascii="Calibri" w:hAnsi="Calibri"/>
          <w:color w:val="000000" w:themeColor="text1"/>
          <w:u w:val="none"/>
        </w:rPr>
        <w:t xml:space="preserve">articipation in all services unrelated to obtaining permanent housing are completely voluntary. </w:t>
      </w:r>
    </w:p>
    <w:p w14:paraId="4A00A087" w14:textId="02ACE172" w:rsidR="003017CE" w:rsidRPr="00A76818" w:rsidRDefault="00990283">
      <w:pPr>
        <w:pStyle w:val="ListParagraph"/>
        <w:numPr>
          <w:ilvl w:val="1"/>
          <w:numId w:val="96"/>
        </w:numPr>
        <w:rPr>
          <w:rFonts w:ascii="Calibri" w:hAnsi="Calibri"/>
          <w:color w:val="000000" w:themeColor="text1"/>
        </w:rPr>
      </w:pPr>
      <w:r w:rsidRPr="00A76818">
        <w:rPr>
          <w:rFonts w:ascii="Calibri" w:hAnsi="Calibri"/>
          <w:color w:val="000000" w:themeColor="text1"/>
        </w:rPr>
        <w:t xml:space="preserve">Local: </w:t>
      </w:r>
      <w:r w:rsidR="00D648A0" w:rsidRPr="00A76818">
        <w:rPr>
          <w:rFonts w:ascii="Calibri" w:hAnsi="Calibri"/>
          <w:color w:val="000000" w:themeColor="text1"/>
        </w:rPr>
        <w:t xml:space="preserve">Service provider </w:t>
      </w:r>
      <w:r w:rsidR="00E176D1" w:rsidRPr="00A76818">
        <w:rPr>
          <w:rFonts w:ascii="Calibri" w:hAnsi="Calibri"/>
          <w:color w:val="000000" w:themeColor="text1"/>
        </w:rPr>
        <w:t xml:space="preserve">staff will fill out </w:t>
      </w:r>
      <w:r w:rsidR="006131E4" w:rsidRPr="00A76818">
        <w:rPr>
          <w:rFonts w:ascii="Calibri" w:hAnsi="Calibri"/>
          <w:color w:val="000000" w:themeColor="text1"/>
        </w:rPr>
        <w:t>a</w:t>
      </w:r>
      <w:r w:rsidR="00BC6C26" w:rsidRPr="00A76818">
        <w:rPr>
          <w:rFonts w:ascii="Calibri" w:hAnsi="Calibri"/>
          <w:color w:val="000000" w:themeColor="text1"/>
        </w:rPr>
        <w:t xml:space="preserve"> Housing</w:t>
      </w:r>
      <w:r w:rsidR="00E176D1" w:rsidRPr="00A76818">
        <w:rPr>
          <w:rFonts w:ascii="Calibri" w:hAnsi="Calibri"/>
          <w:color w:val="000000" w:themeColor="text1"/>
        </w:rPr>
        <w:t xml:space="preserve"> Stability</w:t>
      </w:r>
      <w:r w:rsidR="00BC6C26" w:rsidRPr="00A76818">
        <w:rPr>
          <w:rFonts w:ascii="Calibri" w:hAnsi="Calibri"/>
          <w:color w:val="000000" w:themeColor="text1"/>
        </w:rPr>
        <w:t xml:space="preserve"> Plan with </w:t>
      </w:r>
      <w:r w:rsidR="006131E4" w:rsidRPr="00A76818">
        <w:rPr>
          <w:rFonts w:ascii="Calibri" w:hAnsi="Calibri"/>
          <w:color w:val="000000" w:themeColor="text1"/>
        </w:rPr>
        <w:t>each household</w:t>
      </w:r>
      <w:r w:rsidR="003420D9" w:rsidRPr="00A76818">
        <w:rPr>
          <w:rFonts w:ascii="Calibri" w:hAnsi="Calibri"/>
          <w:color w:val="000000" w:themeColor="text1"/>
        </w:rPr>
        <w:t xml:space="preserve"> </w:t>
      </w:r>
      <w:r w:rsidR="00BC6C26" w:rsidRPr="00A76818">
        <w:rPr>
          <w:rFonts w:ascii="Calibri" w:hAnsi="Calibri"/>
          <w:color w:val="000000" w:themeColor="text1"/>
        </w:rPr>
        <w:t xml:space="preserve">with the goal of achieving independent housing stability. </w:t>
      </w:r>
    </w:p>
    <w:p w14:paraId="540F5505" w14:textId="77777777" w:rsidR="003017CE" w:rsidRPr="00A76818" w:rsidRDefault="00BC6C26">
      <w:pPr>
        <w:pStyle w:val="ListParagraph"/>
        <w:numPr>
          <w:ilvl w:val="3"/>
          <w:numId w:val="97"/>
        </w:numPr>
        <w:rPr>
          <w:rFonts w:ascii="Calibri" w:hAnsi="Calibri"/>
          <w:color w:val="000000" w:themeColor="text1"/>
        </w:rPr>
      </w:pPr>
      <w:r w:rsidRPr="00A76818">
        <w:rPr>
          <w:rFonts w:ascii="Calibri" w:hAnsi="Calibri"/>
          <w:color w:val="000000" w:themeColor="text1"/>
        </w:rPr>
        <w:t xml:space="preserve">The Housing </w:t>
      </w:r>
      <w:r w:rsidR="006131E4" w:rsidRPr="00A76818">
        <w:rPr>
          <w:rFonts w:ascii="Calibri" w:hAnsi="Calibri"/>
          <w:color w:val="000000" w:themeColor="text1"/>
        </w:rPr>
        <w:t xml:space="preserve">Stability </w:t>
      </w:r>
      <w:r w:rsidRPr="00A76818">
        <w:rPr>
          <w:rFonts w:ascii="Calibri" w:hAnsi="Calibri"/>
          <w:color w:val="000000" w:themeColor="text1"/>
        </w:rPr>
        <w:t xml:space="preserve">Plan process is client-centered and should include considerations of (1) household size, (2) </w:t>
      </w:r>
      <w:r w:rsidR="006131E4" w:rsidRPr="00A76818">
        <w:rPr>
          <w:rFonts w:ascii="Calibri" w:hAnsi="Calibri"/>
          <w:color w:val="000000" w:themeColor="text1"/>
        </w:rPr>
        <w:t>household</w:t>
      </w:r>
      <w:r w:rsidRPr="00A76818">
        <w:rPr>
          <w:rFonts w:ascii="Calibri" w:hAnsi="Calibri"/>
          <w:color w:val="000000" w:themeColor="text1"/>
        </w:rPr>
        <w:t xml:space="preserve"> preference for location, </w:t>
      </w:r>
      <w:r w:rsidR="006131E4" w:rsidRPr="00A76818">
        <w:rPr>
          <w:rFonts w:ascii="Calibri" w:hAnsi="Calibri"/>
          <w:color w:val="000000" w:themeColor="text1"/>
        </w:rPr>
        <w:t xml:space="preserve">and </w:t>
      </w:r>
      <w:r w:rsidRPr="00A76818">
        <w:rPr>
          <w:rFonts w:ascii="Calibri" w:hAnsi="Calibri"/>
          <w:color w:val="000000" w:themeColor="text1"/>
        </w:rPr>
        <w:t xml:space="preserve">(3) </w:t>
      </w:r>
      <w:r w:rsidR="006131E4" w:rsidRPr="00A76818">
        <w:rPr>
          <w:rFonts w:ascii="Calibri" w:hAnsi="Calibri"/>
          <w:color w:val="000000" w:themeColor="text1"/>
        </w:rPr>
        <w:t>household</w:t>
      </w:r>
      <w:r w:rsidRPr="00A76818">
        <w:rPr>
          <w:rFonts w:ascii="Calibri" w:hAnsi="Calibri"/>
          <w:color w:val="000000" w:themeColor="text1"/>
        </w:rPr>
        <w:t xml:space="preserve"> preference for housing type (e.g., shared vs. individual)</w:t>
      </w:r>
      <w:r w:rsidR="00D67A35" w:rsidRPr="00A76818">
        <w:rPr>
          <w:rFonts w:ascii="Calibri" w:hAnsi="Calibri"/>
          <w:color w:val="000000" w:themeColor="text1"/>
        </w:rPr>
        <w:t>.</w:t>
      </w:r>
    </w:p>
    <w:p w14:paraId="27B65FEC" w14:textId="77777777" w:rsidR="003017CE" w:rsidRPr="00A76818" w:rsidRDefault="00BC6C26">
      <w:pPr>
        <w:pStyle w:val="ListParagraph"/>
        <w:numPr>
          <w:ilvl w:val="1"/>
          <w:numId w:val="96"/>
        </w:numPr>
        <w:rPr>
          <w:rFonts w:ascii="Calibri" w:hAnsi="Calibri"/>
          <w:color w:val="000000" w:themeColor="text1"/>
        </w:rPr>
      </w:pPr>
      <w:r w:rsidRPr="00A76818">
        <w:rPr>
          <w:rFonts w:ascii="Calibri" w:hAnsi="Calibri"/>
          <w:color w:val="000000" w:themeColor="text1"/>
        </w:rPr>
        <w:t>In support of achieving the goals outlined in the Housing</w:t>
      </w:r>
      <w:r w:rsidR="006131E4" w:rsidRPr="00A76818">
        <w:rPr>
          <w:rFonts w:ascii="Calibri" w:hAnsi="Calibri"/>
          <w:color w:val="000000" w:themeColor="text1"/>
        </w:rPr>
        <w:t xml:space="preserve"> Stability</w:t>
      </w:r>
      <w:r w:rsidRPr="00A76818">
        <w:rPr>
          <w:rFonts w:ascii="Calibri" w:hAnsi="Calibri"/>
          <w:color w:val="000000" w:themeColor="text1"/>
        </w:rPr>
        <w:t xml:space="preserve"> Plan, </w:t>
      </w:r>
      <w:r w:rsidR="006131E4" w:rsidRPr="00A76818">
        <w:rPr>
          <w:rFonts w:ascii="Calibri" w:hAnsi="Calibri"/>
          <w:color w:val="000000" w:themeColor="text1"/>
        </w:rPr>
        <w:t>service provider staff</w:t>
      </w:r>
      <w:r w:rsidRPr="00A76818">
        <w:rPr>
          <w:rFonts w:ascii="Calibri" w:hAnsi="Calibri"/>
          <w:color w:val="000000" w:themeColor="text1"/>
        </w:rPr>
        <w:t xml:space="preserve"> will provide or refer </w:t>
      </w:r>
      <w:r w:rsidR="006131E4" w:rsidRPr="00A76818">
        <w:rPr>
          <w:rFonts w:ascii="Calibri" w:hAnsi="Calibri"/>
          <w:color w:val="000000" w:themeColor="text1"/>
        </w:rPr>
        <w:t>households</w:t>
      </w:r>
      <w:r w:rsidRPr="00A76818">
        <w:rPr>
          <w:rFonts w:ascii="Calibri" w:hAnsi="Calibri"/>
          <w:color w:val="000000" w:themeColor="text1"/>
        </w:rPr>
        <w:t xml:space="preserve"> to the following </w:t>
      </w:r>
      <w:r w:rsidRPr="00A76818">
        <w:rPr>
          <w:rFonts w:ascii="Calibri" w:hAnsi="Calibri"/>
          <w:color w:val="000000" w:themeColor="text1"/>
          <w:u w:val="single"/>
        </w:rPr>
        <w:t>Housing-Focused Services</w:t>
      </w:r>
      <w:r w:rsidRPr="00A76818">
        <w:rPr>
          <w:rFonts w:ascii="Calibri" w:hAnsi="Calibri"/>
          <w:color w:val="000000" w:themeColor="text1"/>
        </w:rPr>
        <w:t xml:space="preserve"> as necessary</w:t>
      </w:r>
      <w:r w:rsidR="00D67A35" w:rsidRPr="00A76818">
        <w:rPr>
          <w:rFonts w:ascii="Calibri" w:hAnsi="Calibri"/>
          <w:color w:val="000000" w:themeColor="text1"/>
        </w:rPr>
        <w:t xml:space="preserve"> and within the confines of their funding sources</w:t>
      </w:r>
      <w:r w:rsidRPr="00A76818">
        <w:rPr>
          <w:rFonts w:ascii="Calibri" w:hAnsi="Calibri"/>
          <w:color w:val="000000" w:themeColor="text1"/>
        </w:rPr>
        <w:t>: housing search, help</w:t>
      </w:r>
      <w:r w:rsidRPr="00A76818">
        <w:rPr>
          <w:rFonts w:ascii="Calibri" w:hAnsi="Calibri"/>
          <w:color w:val="000000" w:themeColor="text1"/>
          <w:spacing w:val="35"/>
        </w:rPr>
        <w:t xml:space="preserve"> </w:t>
      </w:r>
      <w:r w:rsidRPr="00A76818">
        <w:rPr>
          <w:rFonts w:ascii="Calibri" w:hAnsi="Calibri"/>
          <w:color w:val="000000" w:themeColor="text1"/>
        </w:rPr>
        <w:t>with</w:t>
      </w:r>
      <w:r w:rsidRPr="00A76818">
        <w:rPr>
          <w:rFonts w:ascii="Calibri" w:hAnsi="Calibri"/>
          <w:color w:val="000000" w:themeColor="text1"/>
          <w:spacing w:val="29"/>
        </w:rPr>
        <w:t xml:space="preserve"> </w:t>
      </w:r>
      <w:r w:rsidRPr="00A76818">
        <w:rPr>
          <w:rFonts w:ascii="Calibri" w:hAnsi="Calibri"/>
          <w:color w:val="000000" w:themeColor="text1"/>
        </w:rPr>
        <w:t>rental</w:t>
      </w:r>
      <w:r w:rsidRPr="00A76818">
        <w:rPr>
          <w:rFonts w:ascii="Calibri" w:hAnsi="Calibri"/>
          <w:color w:val="000000" w:themeColor="text1"/>
          <w:spacing w:val="41"/>
        </w:rPr>
        <w:t xml:space="preserve"> </w:t>
      </w:r>
      <w:r w:rsidRPr="00A76818">
        <w:rPr>
          <w:rFonts w:ascii="Calibri" w:hAnsi="Calibri"/>
          <w:color w:val="000000" w:themeColor="text1"/>
        </w:rPr>
        <w:t>application,</w:t>
      </w:r>
      <w:r w:rsidRPr="00A76818">
        <w:rPr>
          <w:rFonts w:ascii="Calibri" w:hAnsi="Calibri"/>
          <w:color w:val="000000" w:themeColor="text1"/>
          <w:spacing w:val="21"/>
          <w:w w:val="101"/>
        </w:rPr>
        <w:t xml:space="preserve"> </w:t>
      </w:r>
      <w:r w:rsidRPr="00A76818">
        <w:rPr>
          <w:rFonts w:ascii="Calibri" w:hAnsi="Calibri"/>
          <w:color w:val="000000" w:themeColor="text1"/>
        </w:rPr>
        <w:t>negotiating</w:t>
      </w:r>
      <w:r w:rsidRPr="00A76818">
        <w:rPr>
          <w:rFonts w:ascii="Calibri" w:hAnsi="Calibri"/>
          <w:color w:val="000000" w:themeColor="text1"/>
          <w:spacing w:val="23"/>
        </w:rPr>
        <w:t xml:space="preserve"> </w:t>
      </w:r>
      <w:r w:rsidRPr="00A76818">
        <w:rPr>
          <w:rFonts w:ascii="Calibri" w:hAnsi="Calibri"/>
          <w:color w:val="000000" w:themeColor="text1"/>
        </w:rPr>
        <w:t>with</w:t>
      </w:r>
      <w:r w:rsidRPr="00A76818">
        <w:rPr>
          <w:rFonts w:ascii="Calibri" w:hAnsi="Calibri"/>
          <w:color w:val="000000" w:themeColor="text1"/>
          <w:spacing w:val="25"/>
        </w:rPr>
        <w:t xml:space="preserve"> </w:t>
      </w:r>
      <w:r w:rsidRPr="00A76818">
        <w:rPr>
          <w:rFonts w:ascii="Calibri" w:hAnsi="Calibri"/>
          <w:color w:val="000000" w:themeColor="text1"/>
        </w:rPr>
        <w:t>landlords</w:t>
      </w:r>
      <w:r w:rsidRPr="00A76818">
        <w:rPr>
          <w:rFonts w:ascii="Calibri" w:hAnsi="Calibri"/>
          <w:color w:val="000000" w:themeColor="text1"/>
          <w:spacing w:val="23"/>
        </w:rPr>
        <w:t xml:space="preserve"> </w:t>
      </w:r>
      <w:r w:rsidRPr="00A76818">
        <w:rPr>
          <w:rFonts w:ascii="Calibri" w:hAnsi="Calibri"/>
          <w:color w:val="000000" w:themeColor="text1"/>
        </w:rPr>
        <w:t>and</w:t>
      </w:r>
      <w:r w:rsidRPr="00A76818">
        <w:rPr>
          <w:rFonts w:ascii="Calibri" w:hAnsi="Calibri"/>
          <w:color w:val="000000" w:themeColor="text1"/>
          <w:spacing w:val="5"/>
        </w:rPr>
        <w:t xml:space="preserve"> </w:t>
      </w:r>
      <w:r w:rsidRPr="00A76818">
        <w:rPr>
          <w:rFonts w:ascii="Calibri" w:hAnsi="Calibri"/>
          <w:color w:val="000000" w:themeColor="text1"/>
        </w:rPr>
        <w:t>property</w:t>
      </w:r>
      <w:r w:rsidRPr="00A76818">
        <w:rPr>
          <w:rFonts w:ascii="Calibri" w:hAnsi="Calibri"/>
          <w:color w:val="000000" w:themeColor="text1"/>
          <w:spacing w:val="20"/>
        </w:rPr>
        <w:t xml:space="preserve"> </w:t>
      </w:r>
      <w:r w:rsidRPr="00A76818">
        <w:rPr>
          <w:rFonts w:ascii="Calibri" w:hAnsi="Calibri"/>
          <w:color w:val="000000" w:themeColor="text1"/>
        </w:rPr>
        <w:t>managers,</w:t>
      </w:r>
      <w:r w:rsidRPr="00A76818">
        <w:rPr>
          <w:rFonts w:ascii="Calibri" w:hAnsi="Calibri"/>
          <w:color w:val="000000" w:themeColor="text1"/>
          <w:spacing w:val="31"/>
        </w:rPr>
        <w:t xml:space="preserve"> </w:t>
      </w:r>
      <w:r w:rsidRPr="00A76818">
        <w:rPr>
          <w:rFonts w:ascii="Calibri" w:hAnsi="Calibri"/>
          <w:color w:val="000000" w:themeColor="text1"/>
        </w:rPr>
        <w:t>help</w:t>
      </w:r>
      <w:r w:rsidRPr="00A76818">
        <w:rPr>
          <w:rFonts w:ascii="Calibri" w:hAnsi="Calibri"/>
          <w:color w:val="000000" w:themeColor="text1"/>
          <w:spacing w:val="10"/>
        </w:rPr>
        <w:t xml:space="preserve"> </w:t>
      </w:r>
      <w:r w:rsidRPr="00A76818">
        <w:rPr>
          <w:rFonts w:ascii="Calibri" w:hAnsi="Calibri"/>
          <w:color w:val="000000" w:themeColor="text1"/>
        </w:rPr>
        <w:t>understanding leases,</w:t>
      </w:r>
      <w:r w:rsidRPr="00A76818">
        <w:rPr>
          <w:rFonts w:ascii="Calibri" w:hAnsi="Calibri"/>
          <w:color w:val="000000" w:themeColor="text1"/>
          <w:spacing w:val="20"/>
        </w:rPr>
        <w:t xml:space="preserve"> </w:t>
      </w:r>
      <w:r w:rsidRPr="00A76818">
        <w:rPr>
          <w:rFonts w:ascii="Calibri" w:hAnsi="Calibri"/>
          <w:color w:val="000000" w:themeColor="text1"/>
        </w:rPr>
        <w:t>coordinating</w:t>
      </w:r>
      <w:r w:rsidRPr="00A76818">
        <w:rPr>
          <w:rFonts w:ascii="Calibri" w:hAnsi="Calibri"/>
          <w:color w:val="000000" w:themeColor="text1"/>
          <w:spacing w:val="32"/>
        </w:rPr>
        <w:t xml:space="preserve"> </w:t>
      </w:r>
      <w:r w:rsidRPr="00A76818">
        <w:rPr>
          <w:rFonts w:ascii="Calibri" w:hAnsi="Calibri"/>
          <w:color w:val="000000" w:themeColor="text1"/>
        </w:rPr>
        <w:t>services</w:t>
      </w:r>
      <w:r w:rsidRPr="00A76818">
        <w:rPr>
          <w:rFonts w:ascii="Calibri" w:hAnsi="Calibri"/>
          <w:color w:val="000000" w:themeColor="text1"/>
          <w:spacing w:val="19"/>
        </w:rPr>
        <w:t xml:space="preserve"> </w:t>
      </w:r>
      <w:r w:rsidRPr="00A76818">
        <w:rPr>
          <w:rFonts w:ascii="Calibri" w:hAnsi="Calibri"/>
          <w:color w:val="000000" w:themeColor="text1"/>
        </w:rPr>
        <w:t>from</w:t>
      </w:r>
      <w:r w:rsidRPr="00A76818">
        <w:rPr>
          <w:rFonts w:ascii="Calibri" w:hAnsi="Calibri"/>
          <w:color w:val="000000" w:themeColor="text1"/>
          <w:spacing w:val="19"/>
        </w:rPr>
        <w:t xml:space="preserve"> </w:t>
      </w:r>
      <w:r w:rsidRPr="00A76818">
        <w:rPr>
          <w:rFonts w:ascii="Calibri" w:hAnsi="Calibri"/>
          <w:color w:val="000000" w:themeColor="text1"/>
        </w:rPr>
        <w:t>other</w:t>
      </w:r>
      <w:r w:rsidRPr="00A76818">
        <w:rPr>
          <w:rFonts w:ascii="Calibri" w:hAnsi="Calibri"/>
          <w:color w:val="000000" w:themeColor="text1"/>
          <w:spacing w:val="17"/>
        </w:rPr>
        <w:t xml:space="preserve"> </w:t>
      </w:r>
      <w:r w:rsidRPr="00A76818">
        <w:rPr>
          <w:rFonts w:ascii="Calibri" w:hAnsi="Calibri"/>
          <w:color w:val="000000" w:themeColor="text1"/>
        </w:rPr>
        <w:t>agencies,</w:t>
      </w:r>
      <w:r w:rsidRPr="00A76818">
        <w:rPr>
          <w:rFonts w:ascii="Calibri" w:hAnsi="Calibri"/>
          <w:color w:val="000000" w:themeColor="text1"/>
          <w:spacing w:val="27"/>
        </w:rPr>
        <w:t xml:space="preserve"> </w:t>
      </w:r>
      <w:r w:rsidRPr="00A76818">
        <w:rPr>
          <w:rFonts w:ascii="Calibri" w:hAnsi="Calibri"/>
          <w:color w:val="000000" w:themeColor="text1"/>
        </w:rPr>
        <w:t>security</w:t>
      </w:r>
      <w:r w:rsidRPr="00A76818">
        <w:rPr>
          <w:rFonts w:ascii="Calibri" w:hAnsi="Calibri"/>
          <w:color w:val="000000" w:themeColor="text1"/>
          <w:spacing w:val="15"/>
        </w:rPr>
        <w:t xml:space="preserve"> </w:t>
      </w:r>
      <w:r w:rsidRPr="00A76818">
        <w:rPr>
          <w:rFonts w:ascii="Calibri" w:hAnsi="Calibri"/>
          <w:color w:val="000000" w:themeColor="text1"/>
        </w:rPr>
        <w:t>deposits,</w:t>
      </w:r>
      <w:r w:rsidRPr="00A76818">
        <w:rPr>
          <w:rFonts w:ascii="Calibri" w:hAnsi="Calibri"/>
          <w:color w:val="000000" w:themeColor="text1"/>
          <w:w w:val="101"/>
        </w:rPr>
        <w:t xml:space="preserve"> </w:t>
      </w:r>
      <w:r w:rsidRPr="00A76818">
        <w:rPr>
          <w:rFonts w:ascii="Calibri" w:hAnsi="Calibri"/>
          <w:color w:val="000000" w:themeColor="text1"/>
        </w:rPr>
        <w:t>utility</w:t>
      </w:r>
      <w:r w:rsidRPr="00A76818">
        <w:rPr>
          <w:rFonts w:ascii="Calibri" w:hAnsi="Calibri"/>
          <w:color w:val="000000" w:themeColor="text1"/>
          <w:spacing w:val="14"/>
        </w:rPr>
        <w:t xml:space="preserve"> </w:t>
      </w:r>
      <w:r w:rsidRPr="00A76818">
        <w:rPr>
          <w:rFonts w:ascii="Calibri" w:hAnsi="Calibri"/>
          <w:color w:val="000000" w:themeColor="text1"/>
        </w:rPr>
        <w:t>deposits,</w:t>
      </w:r>
      <w:r w:rsidRPr="00A76818">
        <w:rPr>
          <w:rFonts w:ascii="Calibri" w:hAnsi="Calibri"/>
          <w:color w:val="000000" w:themeColor="text1"/>
          <w:spacing w:val="19"/>
        </w:rPr>
        <w:t xml:space="preserve"> </w:t>
      </w:r>
      <w:r w:rsidRPr="00A76818">
        <w:rPr>
          <w:rFonts w:ascii="Calibri" w:hAnsi="Calibri"/>
          <w:color w:val="000000" w:themeColor="text1"/>
        </w:rPr>
        <w:t>rent</w:t>
      </w:r>
      <w:r w:rsidRPr="00A76818">
        <w:rPr>
          <w:rFonts w:ascii="Calibri" w:hAnsi="Calibri"/>
          <w:color w:val="000000" w:themeColor="text1"/>
          <w:spacing w:val="22"/>
        </w:rPr>
        <w:t xml:space="preserve"> </w:t>
      </w:r>
      <w:r w:rsidRPr="00A76818">
        <w:rPr>
          <w:rFonts w:ascii="Calibri" w:hAnsi="Calibri"/>
          <w:color w:val="000000" w:themeColor="text1"/>
        </w:rPr>
        <w:t>payments,</w:t>
      </w:r>
      <w:r w:rsidRPr="00A76818">
        <w:rPr>
          <w:rFonts w:ascii="Calibri" w:hAnsi="Calibri"/>
          <w:color w:val="000000" w:themeColor="text1"/>
          <w:spacing w:val="30"/>
        </w:rPr>
        <w:t xml:space="preserve"> </w:t>
      </w:r>
      <w:r w:rsidRPr="00A76818">
        <w:rPr>
          <w:rFonts w:ascii="Calibri" w:hAnsi="Calibri"/>
          <w:color w:val="000000" w:themeColor="text1"/>
        </w:rPr>
        <w:t>moving</w:t>
      </w:r>
      <w:r w:rsidRPr="00A76818">
        <w:rPr>
          <w:rFonts w:ascii="Calibri" w:hAnsi="Calibri"/>
          <w:color w:val="000000" w:themeColor="text1"/>
          <w:spacing w:val="20"/>
        </w:rPr>
        <w:t xml:space="preserve"> </w:t>
      </w:r>
      <w:r w:rsidRPr="00A76818">
        <w:rPr>
          <w:rFonts w:ascii="Calibri" w:hAnsi="Calibri"/>
          <w:color w:val="000000" w:themeColor="text1"/>
        </w:rPr>
        <w:t>costs,</w:t>
      </w:r>
      <w:r w:rsidRPr="00A76818">
        <w:rPr>
          <w:rFonts w:ascii="Calibri" w:hAnsi="Calibri"/>
          <w:color w:val="000000" w:themeColor="text1"/>
          <w:spacing w:val="13"/>
        </w:rPr>
        <w:t xml:space="preserve"> </w:t>
      </w:r>
      <w:r w:rsidRPr="00A76818">
        <w:rPr>
          <w:rFonts w:ascii="Calibri" w:hAnsi="Calibri"/>
          <w:color w:val="000000" w:themeColor="text1"/>
        </w:rPr>
        <w:t>credit</w:t>
      </w:r>
      <w:r w:rsidRPr="00A76818">
        <w:rPr>
          <w:rFonts w:ascii="Calibri" w:hAnsi="Calibri"/>
          <w:color w:val="000000" w:themeColor="text1"/>
          <w:spacing w:val="12"/>
        </w:rPr>
        <w:t xml:space="preserve"> </w:t>
      </w:r>
      <w:r w:rsidRPr="00A76818">
        <w:rPr>
          <w:rFonts w:ascii="Calibri" w:hAnsi="Calibri"/>
          <w:color w:val="000000" w:themeColor="text1"/>
        </w:rPr>
        <w:t>repair</w:t>
      </w:r>
      <w:r w:rsidRPr="00A76818">
        <w:rPr>
          <w:rFonts w:ascii="Calibri" w:hAnsi="Calibri"/>
          <w:color w:val="000000" w:themeColor="text1"/>
          <w:spacing w:val="24"/>
        </w:rPr>
        <w:t xml:space="preserve"> </w:t>
      </w:r>
      <w:r w:rsidRPr="00A76818">
        <w:rPr>
          <w:rFonts w:ascii="Calibri" w:hAnsi="Calibri"/>
          <w:color w:val="000000" w:themeColor="text1"/>
        </w:rPr>
        <w:t>counseling, resolving</w:t>
      </w:r>
      <w:r w:rsidRPr="00A76818">
        <w:rPr>
          <w:rFonts w:ascii="Calibri" w:hAnsi="Calibri"/>
          <w:color w:val="000000" w:themeColor="text1"/>
          <w:spacing w:val="18"/>
        </w:rPr>
        <w:t xml:space="preserve"> </w:t>
      </w:r>
      <w:r w:rsidRPr="00A76818">
        <w:rPr>
          <w:rFonts w:ascii="Calibri" w:hAnsi="Calibri"/>
          <w:color w:val="000000" w:themeColor="text1"/>
        </w:rPr>
        <w:t>past</w:t>
      </w:r>
      <w:r w:rsidRPr="00A76818">
        <w:rPr>
          <w:rFonts w:ascii="Calibri" w:hAnsi="Calibri"/>
          <w:color w:val="000000" w:themeColor="text1"/>
          <w:spacing w:val="31"/>
        </w:rPr>
        <w:t xml:space="preserve"> </w:t>
      </w:r>
      <w:r w:rsidRPr="00A76818">
        <w:rPr>
          <w:rFonts w:ascii="Calibri" w:hAnsi="Calibri"/>
          <w:color w:val="000000" w:themeColor="text1"/>
        </w:rPr>
        <w:t xml:space="preserve">evictions. </w:t>
      </w:r>
    </w:p>
    <w:p w14:paraId="3B3AE9B2" w14:textId="77777777" w:rsidR="003017CE" w:rsidRPr="00A76818" w:rsidRDefault="00BC6C26">
      <w:pPr>
        <w:pStyle w:val="ListParagraph"/>
        <w:numPr>
          <w:ilvl w:val="3"/>
          <w:numId w:val="98"/>
        </w:numPr>
        <w:rPr>
          <w:rFonts w:ascii="Calibri" w:hAnsi="Calibri"/>
          <w:color w:val="000000" w:themeColor="text1"/>
        </w:rPr>
      </w:pPr>
      <w:r w:rsidRPr="00A76818">
        <w:rPr>
          <w:rFonts w:ascii="Calibri" w:hAnsi="Calibri"/>
          <w:color w:val="000000" w:themeColor="text1"/>
        </w:rPr>
        <w:t xml:space="preserve">These services </w:t>
      </w:r>
      <w:r w:rsidR="00841EFE" w:rsidRPr="00A76818">
        <w:rPr>
          <w:rFonts w:ascii="Calibri" w:hAnsi="Calibri"/>
          <w:color w:val="000000" w:themeColor="text1"/>
        </w:rPr>
        <w:t>can be</w:t>
      </w:r>
      <w:r w:rsidRPr="00A76818">
        <w:rPr>
          <w:rFonts w:ascii="Calibri" w:hAnsi="Calibri"/>
          <w:color w:val="000000" w:themeColor="text1"/>
        </w:rPr>
        <w:t xml:space="preserve"> provided on site or off site depending on the client’s physical needs.</w:t>
      </w:r>
    </w:p>
    <w:p w14:paraId="4266555E" w14:textId="77777777" w:rsidR="003017CE" w:rsidRPr="00A76818" w:rsidRDefault="00BC6C26">
      <w:pPr>
        <w:pStyle w:val="ListParagraph"/>
        <w:numPr>
          <w:ilvl w:val="1"/>
          <w:numId w:val="96"/>
        </w:numPr>
        <w:rPr>
          <w:rFonts w:ascii="Calibri" w:hAnsi="Calibri"/>
          <w:color w:val="000000" w:themeColor="text1"/>
        </w:rPr>
      </w:pPr>
      <w:r w:rsidRPr="00A76818">
        <w:rPr>
          <w:rFonts w:ascii="Calibri" w:hAnsi="Calibri"/>
          <w:color w:val="000000" w:themeColor="text1"/>
        </w:rPr>
        <w:t>Before and after developing a Housing</w:t>
      </w:r>
      <w:r w:rsidR="00841EFE" w:rsidRPr="00A76818">
        <w:rPr>
          <w:rFonts w:ascii="Calibri" w:hAnsi="Calibri"/>
          <w:color w:val="000000" w:themeColor="text1"/>
        </w:rPr>
        <w:t xml:space="preserve"> Stability</w:t>
      </w:r>
      <w:r w:rsidRPr="00A76818">
        <w:rPr>
          <w:rFonts w:ascii="Calibri" w:hAnsi="Calibri"/>
          <w:color w:val="000000" w:themeColor="text1"/>
        </w:rPr>
        <w:t xml:space="preserve"> Plan, </w:t>
      </w:r>
      <w:r w:rsidR="00841EFE" w:rsidRPr="00A76818">
        <w:rPr>
          <w:rFonts w:ascii="Calibri" w:hAnsi="Calibri"/>
          <w:color w:val="000000" w:themeColor="text1"/>
        </w:rPr>
        <w:t>households</w:t>
      </w:r>
      <w:r w:rsidRPr="00A76818">
        <w:rPr>
          <w:rFonts w:ascii="Calibri" w:hAnsi="Calibri"/>
          <w:color w:val="000000" w:themeColor="text1"/>
        </w:rPr>
        <w:t xml:space="preserve"> will be provided resources as necessary to meet their basic, legal, and financial needs and support the goal of achieving housing stability.</w:t>
      </w:r>
    </w:p>
    <w:p w14:paraId="578F54D0" w14:textId="77777777" w:rsidR="003017CE" w:rsidRPr="00A76818" w:rsidRDefault="00BC6C26">
      <w:pPr>
        <w:pStyle w:val="ListParagraph"/>
        <w:numPr>
          <w:ilvl w:val="3"/>
          <w:numId w:val="99"/>
        </w:numPr>
        <w:rPr>
          <w:rFonts w:ascii="Calibri" w:hAnsi="Calibri"/>
          <w:color w:val="000000" w:themeColor="text1"/>
        </w:rPr>
      </w:pPr>
      <w:r w:rsidRPr="00A76818">
        <w:rPr>
          <w:rFonts w:ascii="Calibri" w:hAnsi="Calibri"/>
          <w:color w:val="000000" w:themeColor="text1"/>
          <w:u w:val="single"/>
        </w:rPr>
        <w:t>Basic Services</w:t>
      </w:r>
      <w:r w:rsidR="007016E9" w:rsidRPr="00A76818">
        <w:rPr>
          <w:rFonts w:ascii="Calibri" w:hAnsi="Calibri"/>
          <w:color w:val="000000" w:themeColor="text1"/>
        </w:rPr>
        <w:t xml:space="preserve"> </w:t>
      </w:r>
      <w:r w:rsidRPr="00A76818">
        <w:rPr>
          <w:rFonts w:ascii="Calibri" w:hAnsi="Calibri"/>
          <w:color w:val="000000" w:themeColor="text1"/>
        </w:rPr>
        <w:t xml:space="preserve">include </w:t>
      </w:r>
      <w:r w:rsidRPr="00A76818">
        <w:rPr>
          <w:rFonts w:ascii="Calibri" w:hAnsi="Calibri"/>
          <w:color w:val="000000" w:themeColor="text1"/>
          <w:spacing w:val="1"/>
        </w:rPr>
        <w:t>household</w:t>
      </w:r>
      <w:r w:rsidRPr="00A76818">
        <w:rPr>
          <w:rFonts w:ascii="Calibri" w:hAnsi="Calibri"/>
          <w:color w:val="000000" w:themeColor="text1"/>
          <w:spacing w:val="23"/>
        </w:rPr>
        <w:t xml:space="preserve"> </w:t>
      </w:r>
      <w:r w:rsidRPr="00A76818">
        <w:rPr>
          <w:rFonts w:ascii="Calibri" w:hAnsi="Calibri"/>
          <w:color w:val="000000" w:themeColor="text1"/>
        </w:rPr>
        <w:t>safety,</w:t>
      </w:r>
      <w:r w:rsidRPr="00A76818">
        <w:rPr>
          <w:rFonts w:ascii="Calibri" w:hAnsi="Calibri"/>
          <w:color w:val="000000" w:themeColor="text1"/>
          <w:spacing w:val="4"/>
        </w:rPr>
        <w:t xml:space="preserve"> </w:t>
      </w:r>
      <w:r w:rsidRPr="00A76818">
        <w:rPr>
          <w:rFonts w:ascii="Calibri" w:hAnsi="Calibri"/>
          <w:color w:val="000000" w:themeColor="text1"/>
        </w:rPr>
        <w:t>medical</w:t>
      </w:r>
      <w:r w:rsidRPr="00A76818">
        <w:rPr>
          <w:rFonts w:ascii="Calibri" w:hAnsi="Calibri"/>
          <w:color w:val="000000" w:themeColor="text1"/>
          <w:spacing w:val="34"/>
        </w:rPr>
        <w:t xml:space="preserve"> </w:t>
      </w:r>
      <w:r w:rsidRPr="00A76818">
        <w:rPr>
          <w:rFonts w:ascii="Calibri" w:hAnsi="Calibri"/>
          <w:color w:val="000000" w:themeColor="text1"/>
        </w:rPr>
        <w:t>emergency,</w:t>
      </w:r>
      <w:r w:rsidRPr="00A76818">
        <w:rPr>
          <w:rFonts w:ascii="Calibri" w:hAnsi="Calibri"/>
          <w:color w:val="000000" w:themeColor="text1"/>
          <w:spacing w:val="32"/>
        </w:rPr>
        <w:t xml:space="preserve"> </w:t>
      </w:r>
      <w:r w:rsidRPr="00A76818">
        <w:rPr>
          <w:rFonts w:ascii="Calibri" w:hAnsi="Calibri"/>
          <w:color w:val="000000" w:themeColor="text1"/>
        </w:rPr>
        <w:t>adequate</w:t>
      </w:r>
      <w:r w:rsidRPr="00A76818">
        <w:rPr>
          <w:rFonts w:ascii="Calibri" w:hAnsi="Calibri"/>
          <w:color w:val="000000" w:themeColor="text1"/>
          <w:spacing w:val="21"/>
        </w:rPr>
        <w:t xml:space="preserve"> </w:t>
      </w:r>
      <w:r w:rsidRPr="00A76818">
        <w:rPr>
          <w:rFonts w:ascii="Calibri" w:hAnsi="Calibri"/>
          <w:color w:val="000000" w:themeColor="text1"/>
        </w:rPr>
        <w:t>clothing,</w:t>
      </w:r>
      <w:r w:rsidRPr="00A76818">
        <w:rPr>
          <w:rFonts w:ascii="Calibri" w:hAnsi="Calibri"/>
          <w:color w:val="000000" w:themeColor="text1"/>
          <w:spacing w:val="17"/>
        </w:rPr>
        <w:t xml:space="preserve"> </w:t>
      </w:r>
      <w:r w:rsidRPr="00A76818">
        <w:rPr>
          <w:rFonts w:ascii="Calibri" w:hAnsi="Calibri"/>
          <w:color w:val="000000" w:themeColor="text1"/>
        </w:rPr>
        <w:t>food,</w:t>
      </w:r>
      <w:r w:rsidRPr="00A76818">
        <w:rPr>
          <w:rFonts w:ascii="Calibri" w:hAnsi="Calibri"/>
          <w:color w:val="000000" w:themeColor="text1"/>
          <w:spacing w:val="11"/>
        </w:rPr>
        <w:t xml:space="preserve"> </w:t>
      </w:r>
      <w:r w:rsidRPr="00A76818">
        <w:rPr>
          <w:rFonts w:ascii="Calibri" w:hAnsi="Calibri"/>
          <w:color w:val="000000" w:themeColor="text1"/>
        </w:rPr>
        <w:t>transportation,</w:t>
      </w:r>
      <w:r w:rsidRPr="00A76818">
        <w:rPr>
          <w:rFonts w:ascii="Calibri" w:hAnsi="Calibri"/>
          <w:color w:val="000000" w:themeColor="text1"/>
          <w:spacing w:val="29"/>
        </w:rPr>
        <w:t xml:space="preserve"> </w:t>
      </w:r>
      <w:r w:rsidRPr="00A76818">
        <w:rPr>
          <w:rFonts w:ascii="Calibri" w:hAnsi="Calibri"/>
          <w:color w:val="000000" w:themeColor="text1"/>
        </w:rPr>
        <w:t>dental</w:t>
      </w:r>
      <w:r w:rsidRPr="00A76818">
        <w:rPr>
          <w:rFonts w:ascii="Calibri" w:hAnsi="Calibri"/>
          <w:color w:val="000000" w:themeColor="text1"/>
          <w:w w:val="96"/>
        </w:rPr>
        <w:t xml:space="preserve"> </w:t>
      </w:r>
      <w:r w:rsidRPr="00A76818">
        <w:rPr>
          <w:rFonts w:ascii="Calibri" w:hAnsi="Calibri"/>
          <w:color w:val="000000" w:themeColor="text1"/>
        </w:rPr>
        <w:t>emergency,</w:t>
      </w:r>
      <w:r w:rsidRPr="00A76818">
        <w:rPr>
          <w:rFonts w:ascii="Calibri" w:hAnsi="Calibri"/>
          <w:color w:val="000000" w:themeColor="text1"/>
          <w:spacing w:val="22"/>
        </w:rPr>
        <w:t xml:space="preserve"> </w:t>
      </w:r>
      <w:r w:rsidRPr="00A76818">
        <w:rPr>
          <w:rFonts w:ascii="Calibri" w:hAnsi="Calibri"/>
          <w:color w:val="000000" w:themeColor="text1"/>
        </w:rPr>
        <w:t>mental</w:t>
      </w:r>
      <w:r w:rsidRPr="00A76818">
        <w:rPr>
          <w:rFonts w:ascii="Calibri" w:hAnsi="Calibri"/>
          <w:color w:val="000000" w:themeColor="text1"/>
          <w:spacing w:val="23"/>
        </w:rPr>
        <w:t xml:space="preserve"> </w:t>
      </w:r>
      <w:r w:rsidRPr="00A76818">
        <w:rPr>
          <w:rFonts w:ascii="Calibri" w:hAnsi="Calibri"/>
          <w:color w:val="000000" w:themeColor="text1"/>
        </w:rPr>
        <w:t>health crisis, and suicide prevention.</w:t>
      </w:r>
    </w:p>
    <w:p w14:paraId="1E4B8A68" w14:textId="77777777" w:rsidR="003017CE" w:rsidRPr="00A76818" w:rsidRDefault="00BC6C26">
      <w:pPr>
        <w:pStyle w:val="ListParagraph"/>
        <w:numPr>
          <w:ilvl w:val="3"/>
          <w:numId w:val="99"/>
        </w:numPr>
        <w:rPr>
          <w:rFonts w:ascii="Calibri" w:hAnsi="Calibri"/>
          <w:color w:val="000000" w:themeColor="text1"/>
        </w:rPr>
      </w:pPr>
      <w:r w:rsidRPr="00A76818">
        <w:rPr>
          <w:rFonts w:ascii="Calibri" w:hAnsi="Calibri"/>
          <w:color w:val="000000" w:themeColor="text1"/>
          <w:u w:val="single"/>
        </w:rPr>
        <w:t>Legal Services</w:t>
      </w:r>
      <w:r w:rsidRPr="00A76818">
        <w:rPr>
          <w:rFonts w:ascii="Calibri" w:hAnsi="Calibri"/>
          <w:color w:val="000000" w:themeColor="text1"/>
        </w:rPr>
        <w:t xml:space="preserve"> include help with warrants, restraining orders, parent in jail, immigration status, birth certificates, photo identification, debts and fines, and past evictions. </w:t>
      </w:r>
    </w:p>
    <w:p w14:paraId="00CF8A4A" w14:textId="77777777" w:rsidR="003017CE" w:rsidRPr="00A76818" w:rsidRDefault="00BC6C26">
      <w:pPr>
        <w:pStyle w:val="ListParagraph"/>
        <w:numPr>
          <w:ilvl w:val="3"/>
          <w:numId w:val="99"/>
        </w:numPr>
        <w:rPr>
          <w:rFonts w:ascii="Calibri" w:hAnsi="Calibri"/>
          <w:color w:val="000000" w:themeColor="text1"/>
        </w:rPr>
      </w:pPr>
      <w:r w:rsidRPr="00A76818">
        <w:rPr>
          <w:rFonts w:ascii="Calibri" w:hAnsi="Calibri"/>
          <w:color w:val="000000" w:themeColor="text1"/>
          <w:u w:val="single"/>
        </w:rPr>
        <w:t>Financial Services</w:t>
      </w:r>
      <w:r w:rsidRPr="00A76818">
        <w:rPr>
          <w:rFonts w:ascii="Calibri" w:hAnsi="Calibri"/>
          <w:color w:val="000000" w:themeColor="text1"/>
        </w:rPr>
        <w:t xml:space="preserve"> include temporary income, assistance with Medi-Cal application </w:t>
      </w:r>
    </w:p>
    <w:p w14:paraId="5EBE2C4F" w14:textId="77777777" w:rsidR="003017CE" w:rsidRPr="00A76818" w:rsidRDefault="00841EFE">
      <w:pPr>
        <w:pStyle w:val="ListParagraph"/>
        <w:numPr>
          <w:ilvl w:val="3"/>
          <w:numId w:val="99"/>
        </w:numPr>
        <w:rPr>
          <w:rFonts w:ascii="Calibri" w:hAnsi="Calibri"/>
          <w:color w:val="000000" w:themeColor="text1"/>
        </w:rPr>
      </w:pPr>
      <w:r w:rsidRPr="00A76818">
        <w:rPr>
          <w:rFonts w:ascii="Calibri" w:hAnsi="Calibri"/>
          <w:color w:val="000000" w:themeColor="text1"/>
          <w:u w:val="single"/>
        </w:rPr>
        <w:t xml:space="preserve">Linkages and </w:t>
      </w:r>
      <w:proofErr w:type="gramStart"/>
      <w:r w:rsidRPr="00A76818">
        <w:rPr>
          <w:rFonts w:ascii="Calibri" w:hAnsi="Calibri"/>
          <w:color w:val="000000" w:themeColor="text1"/>
          <w:u w:val="single"/>
        </w:rPr>
        <w:t>Supports</w:t>
      </w:r>
      <w:proofErr w:type="gramEnd"/>
      <w:r w:rsidRPr="00A76818">
        <w:rPr>
          <w:rFonts w:ascii="Calibri" w:hAnsi="Calibri"/>
          <w:color w:val="000000" w:themeColor="text1"/>
        </w:rPr>
        <w:t xml:space="preserve"> includes local Public Health Services, school enrollment, subsidized childcare, immunizations, child abuse or neglect, child car seat, and medications.</w:t>
      </w:r>
    </w:p>
    <w:p w14:paraId="15B1437A" w14:textId="77777777" w:rsidR="003017CE" w:rsidRPr="00A76818" w:rsidRDefault="00841EFE">
      <w:pPr>
        <w:pStyle w:val="ListParagraph"/>
        <w:numPr>
          <w:ilvl w:val="3"/>
          <w:numId w:val="99"/>
        </w:numPr>
        <w:rPr>
          <w:rStyle w:val="Hyperlink"/>
          <w:rFonts w:ascii="Calibri" w:hAnsi="Calibri"/>
          <w:color w:val="000000" w:themeColor="text1"/>
          <w:u w:val="none"/>
        </w:rPr>
      </w:pPr>
      <w:r w:rsidRPr="00A76818">
        <w:rPr>
          <w:rFonts w:ascii="Calibri" w:hAnsi="Calibri"/>
          <w:color w:val="000000" w:themeColor="text1"/>
        </w:rPr>
        <w:lastRenderedPageBreak/>
        <w:t xml:space="preserve">For more detail about services eligible for ESG funding, please see the most recent version of the ESG Eligible Expense Guide: </w:t>
      </w:r>
      <w:hyperlink r:id="rId24" w:history="1">
        <w:r w:rsidRPr="00A76818">
          <w:rPr>
            <w:rStyle w:val="Hyperlink"/>
            <w:color w:val="000000" w:themeColor="text1"/>
          </w:rPr>
          <w:t>https://www.hcd.ca.gov/grants-funding/docs/ESG-Eligible-Expense-Guide.pdf</w:t>
        </w:r>
      </w:hyperlink>
    </w:p>
    <w:p w14:paraId="7836C6A3" w14:textId="2A473510" w:rsidR="00D648A0" w:rsidRPr="00A76818" w:rsidRDefault="00D648A0">
      <w:pPr>
        <w:pStyle w:val="ListParagraph"/>
        <w:numPr>
          <w:ilvl w:val="1"/>
          <w:numId w:val="96"/>
        </w:numPr>
        <w:rPr>
          <w:rStyle w:val="Hyperlink"/>
          <w:rFonts w:ascii="Calibri" w:hAnsi="Calibri"/>
          <w:color w:val="000000" w:themeColor="text1"/>
          <w:u w:val="none"/>
        </w:rPr>
      </w:pPr>
      <w:r w:rsidRPr="00A76818">
        <w:rPr>
          <w:rStyle w:val="Hyperlink"/>
          <w:rFonts w:ascii="Calibri" w:hAnsi="Calibri"/>
          <w:color w:val="000000" w:themeColor="text1"/>
          <w:u w:val="none"/>
        </w:rPr>
        <w:t xml:space="preserve">At a minimum, each household will be reassessed after 30 days in the shelter, to match them with appropriate services as their circumstances change. </w:t>
      </w:r>
    </w:p>
    <w:p w14:paraId="3A9E1DDB" w14:textId="7658D586" w:rsidR="00BC6C26" w:rsidRPr="00A76818" w:rsidRDefault="00990283">
      <w:pPr>
        <w:pStyle w:val="ListParagraph"/>
        <w:numPr>
          <w:ilvl w:val="0"/>
          <w:numId w:val="46"/>
        </w:numPr>
        <w:rPr>
          <w:rFonts w:ascii="Calibri" w:hAnsi="Calibri"/>
          <w:color w:val="000000" w:themeColor="text1"/>
        </w:rPr>
      </w:pPr>
      <w:r w:rsidRPr="00A76818">
        <w:rPr>
          <w:rFonts w:ascii="Calibri" w:hAnsi="Calibri"/>
          <w:color w:val="000000" w:themeColor="text1"/>
        </w:rPr>
        <w:t xml:space="preserve">Local </w:t>
      </w:r>
      <w:r w:rsidR="00BC6C26" w:rsidRPr="00A76818">
        <w:rPr>
          <w:rFonts w:ascii="Calibri" w:hAnsi="Calibri"/>
          <w:color w:val="000000" w:themeColor="text1"/>
        </w:rPr>
        <w:t>Universal Forms – Each of the following forms should be used with each household unless otherwise noted.</w:t>
      </w:r>
    </w:p>
    <w:p w14:paraId="6B005141" w14:textId="30A7FB58" w:rsidR="00841EFE" w:rsidRPr="00A76818" w:rsidRDefault="00841EFE">
      <w:pPr>
        <w:pStyle w:val="ListParagraph"/>
        <w:numPr>
          <w:ilvl w:val="0"/>
          <w:numId w:val="100"/>
        </w:numPr>
        <w:rPr>
          <w:rFonts w:ascii="Calibri" w:hAnsi="Calibri"/>
          <w:color w:val="000000" w:themeColor="text1"/>
        </w:rPr>
      </w:pPr>
      <w:r w:rsidRPr="00A76818">
        <w:rPr>
          <w:rFonts w:ascii="Calibri" w:hAnsi="Calibri"/>
          <w:color w:val="000000" w:themeColor="text1"/>
        </w:rPr>
        <w:t>ATCAA Emergency Shelter Packet</w:t>
      </w:r>
    </w:p>
    <w:p w14:paraId="3637CB9C" w14:textId="50D576BF" w:rsidR="00841EFE" w:rsidRPr="00A76818" w:rsidRDefault="00841EFE">
      <w:pPr>
        <w:pStyle w:val="ListParagraph"/>
        <w:numPr>
          <w:ilvl w:val="1"/>
          <w:numId w:val="100"/>
        </w:numPr>
        <w:rPr>
          <w:rFonts w:ascii="Calibri" w:hAnsi="Calibri"/>
          <w:color w:val="000000" w:themeColor="text1"/>
        </w:rPr>
      </w:pPr>
      <w:r w:rsidRPr="00A76818">
        <w:rPr>
          <w:rFonts w:ascii="Calibri" w:hAnsi="Calibri"/>
          <w:color w:val="000000" w:themeColor="text1"/>
        </w:rPr>
        <w:t>Intake Form</w:t>
      </w:r>
    </w:p>
    <w:p w14:paraId="2839597A" w14:textId="7E6D9536" w:rsidR="00841EFE" w:rsidRPr="00A76818" w:rsidRDefault="00841EFE">
      <w:pPr>
        <w:pStyle w:val="ListParagraph"/>
        <w:numPr>
          <w:ilvl w:val="1"/>
          <w:numId w:val="100"/>
        </w:numPr>
        <w:rPr>
          <w:rFonts w:ascii="Calibri" w:hAnsi="Calibri"/>
          <w:color w:val="000000" w:themeColor="text1"/>
        </w:rPr>
      </w:pPr>
      <w:r w:rsidRPr="00A76818">
        <w:rPr>
          <w:rFonts w:ascii="Calibri" w:hAnsi="Calibri"/>
          <w:color w:val="000000" w:themeColor="text1"/>
        </w:rPr>
        <w:t>Statement of Confidentiality</w:t>
      </w:r>
    </w:p>
    <w:p w14:paraId="4D0225CA" w14:textId="17B1DF8F" w:rsidR="00841EFE" w:rsidRPr="00A76818" w:rsidRDefault="00841EFE">
      <w:pPr>
        <w:pStyle w:val="ListParagraph"/>
        <w:numPr>
          <w:ilvl w:val="1"/>
          <w:numId w:val="100"/>
        </w:numPr>
        <w:rPr>
          <w:rFonts w:ascii="Calibri" w:hAnsi="Calibri"/>
          <w:color w:val="000000" w:themeColor="text1"/>
        </w:rPr>
      </w:pPr>
      <w:r w:rsidRPr="00A76818">
        <w:rPr>
          <w:rFonts w:ascii="Calibri" w:hAnsi="Calibri"/>
          <w:color w:val="000000" w:themeColor="text1"/>
        </w:rPr>
        <w:t>Resident Contract</w:t>
      </w:r>
    </w:p>
    <w:p w14:paraId="22B90347" w14:textId="23EF8115" w:rsidR="00841EFE" w:rsidRPr="00A76818" w:rsidRDefault="00841EFE">
      <w:pPr>
        <w:pStyle w:val="ListParagraph"/>
        <w:numPr>
          <w:ilvl w:val="1"/>
          <w:numId w:val="100"/>
        </w:numPr>
        <w:rPr>
          <w:rFonts w:ascii="Calibri" w:hAnsi="Calibri"/>
          <w:color w:val="000000" w:themeColor="text1"/>
        </w:rPr>
      </w:pPr>
      <w:r w:rsidRPr="00A76818">
        <w:rPr>
          <w:rFonts w:ascii="Calibri" w:hAnsi="Calibri"/>
          <w:color w:val="000000" w:themeColor="text1"/>
        </w:rPr>
        <w:t>HMIS Release and Information Collection forms</w:t>
      </w:r>
    </w:p>
    <w:p w14:paraId="443932D9" w14:textId="77777777" w:rsidR="00841EFE" w:rsidRPr="00A76818" w:rsidRDefault="00841EFE">
      <w:pPr>
        <w:pStyle w:val="ListParagraph"/>
        <w:numPr>
          <w:ilvl w:val="1"/>
          <w:numId w:val="100"/>
        </w:numPr>
        <w:rPr>
          <w:rFonts w:ascii="Calibri" w:hAnsi="Calibri"/>
          <w:color w:val="000000" w:themeColor="text1"/>
        </w:rPr>
      </w:pPr>
      <w:r w:rsidRPr="00A76818">
        <w:rPr>
          <w:rFonts w:ascii="Calibri" w:hAnsi="Calibri"/>
          <w:color w:val="000000" w:themeColor="text1"/>
        </w:rPr>
        <w:t>Health Screening forms</w:t>
      </w:r>
    </w:p>
    <w:p w14:paraId="68C3579C" w14:textId="77777777" w:rsidR="00841EFE" w:rsidRPr="00A76818" w:rsidRDefault="00841EFE">
      <w:pPr>
        <w:pStyle w:val="ListParagraph"/>
        <w:numPr>
          <w:ilvl w:val="1"/>
          <w:numId w:val="100"/>
        </w:numPr>
        <w:rPr>
          <w:rFonts w:ascii="Calibri" w:hAnsi="Calibri"/>
          <w:color w:val="000000" w:themeColor="text1"/>
        </w:rPr>
      </w:pPr>
      <w:r w:rsidRPr="00A76818">
        <w:rPr>
          <w:rFonts w:ascii="Calibri" w:hAnsi="Calibri"/>
          <w:color w:val="000000" w:themeColor="text1"/>
        </w:rPr>
        <w:t>Program Rules</w:t>
      </w:r>
    </w:p>
    <w:p w14:paraId="6A5D3B7C" w14:textId="77777777" w:rsidR="00841EFE" w:rsidRPr="00A76818" w:rsidRDefault="00841EFE">
      <w:pPr>
        <w:pStyle w:val="ListParagraph"/>
        <w:numPr>
          <w:ilvl w:val="1"/>
          <w:numId w:val="100"/>
        </w:numPr>
        <w:rPr>
          <w:rFonts w:ascii="Calibri" w:hAnsi="Calibri"/>
          <w:color w:val="000000" w:themeColor="text1"/>
        </w:rPr>
      </w:pPr>
      <w:r w:rsidRPr="00A76818">
        <w:rPr>
          <w:rFonts w:ascii="Calibri" w:hAnsi="Calibri"/>
          <w:color w:val="000000" w:themeColor="text1"/>
        </w:rPr>
        <w:t>School Attendance Agreement</w:t>
      </w:r>
    </w:p>
    <w:p w14:paraId="6559F704" w14:textId="1DDA1FC8" w:rsidR="00841EFE" w:rsidRPr="00A76818" w:rsidRDefault="00841EFE">
      <w:pPr>
        <w:pStyle w:val="ListParagraph"/>
        <w:numPr>
          <w:ilvl w:val="1"/>
          <w:numId w:val="100"/>
        </w:numPr>
        <w:rPr>
          <w:rFonts w:ascii="Calibri" w:hAnsi="Calibri"/>
          <w:color w:val="000000" w:themeColor="text1"/>
        </w:rPr>
      </w:pPr>
      <w:r w:rsidRPr="00A76818">
        <w:rPr>
          <w:rFonts w:ascii="Calibri" w:hAnsi="Calibri"/>
          <w:color w:val="000000" w:themeColor="text1"/>
        </w:rPr>
        <w:t>Personal Property &amp; Injury Waiver</w:t>
      </w:r>
    </w:p>
    <w:p w14:paraId="54020349" w14:textId="4EF97940" w:rsidR="00841EFE" w:rsidRPr="00A76818" w:rsidRDefault="00841EFE">
      <w:pPr>
        <w:pStyle w:val="ListParagraph"/>
        <w:numPr>
          <w:ilvl w:val="1"/>
          <w:numId w:val="100"/>
        </w:numPr>
        <w:rPr>
          <w:rFonts w:ascii="Calibri" w:hAnsi="Calibri"/>
          <w:color w:val="000000" w:themeColor="text1"/>
        </w:rPr>
      </w:pPr>
      <w:r w:rsidRPr="00A76818">
        <w:rPr>
          <w:rFonts w:ascii="Calibri" w:hAnsi="Calibri"/>
          <w:color w:val="000000" w:themeColor="text1"/>
        </w:rPr>
        <w:t>Housing Stability Plan</w:t>
      </w:r>
    </w:p>
    <w:p w14:paraId="4DA03514" w14:textId="16D46ED5" w:rsidR="00841EFE" w:rsidRPr="00A76818" w:rsidRDefault="00841EFE">
      <w:pPr>
        <w:pStyle w:val="ListParagraph"/>
        <w:numPr>
          <w:ilvl w:val="1"/>
          <w:numId w:val="100"/>
        </w:numPr>
        <w:rPr>
          <w:rFonts w:ascii="Calibri" w:hAnsi="Calibri"/>
          <w:color w:val="000000" w:themeColor="text1"/>
        </w:rPr>
      </w:pPr>
      <w:r w:rsidRPr="00A76818">
        <w:rPr>
          <w:rFonts w:ascii="Calibri" w:hAnsi="Calibri"/>
          <w:color w:val="000000" w:themeColor="text1"/>
        </w:rPr>
        <w:t>Needs Assessment</w:t>
      </w:r>
    </w:p>
    <w:p w14:paraId="6EACA4A9" w14:textId="53C7680C" w:rsidR="00841EFE" w:rsidRPr="00A76818" w:rsidRDefault="00841EFE">
      <w:pPr>
        <w:pStyle w:val="ListParagraph"/>
        <w:numPr>
          <w:ilvl w:val="1"/>
          <w:numId w:val="100"/>
        </w:numPr>
        <w:rPr>
          <w:rFonts w:ascii="Calibri" w:hAnsi="Calibri"/>
          <w:color w:val="000000" w:themeColor="text1"/>
        </w:rPr>
      </w:pPr>
      <w:r w:rsidRPr="00A76818">
        <w:rPr>
          <w:rFonts w:ascii="Calibri" w:hAnsi="Calibri"/>
          <w:color w:val="000000" w:themeColor="text1"/>
        </w:rPr>
        <w:t>Satisfaction Survey</w:t>
      </w:r>
    </w:p>
    <w:p w14:paraId="1C2168A8" w14:textId="47DC534D" w:rsidR="00BC6C26" w:rsidRPr="00A76818" w:rsidRDefault="00BC6C26" w:rsidP="000604EE">
      <w:pPr>
        <w:contextualSpacing/>
        <w:rPr>
          <w:rFonts w:ascii="Calibri" w:hAnsi="Calibri" w:cs="Calibri"/>
          <w:color w:val="000000" w:themeColor="text1"/>
        </w:rPr>
      </w:pPr>
    </w:p>
    <w:tbl>
      <w:tblPr>
        <w:tblStyle w:val="GridTable4-Accent1"/>
        <w:tblW w:w="0" w:type="auto"/>
        <w:tblLook w:val="04A0" w:firstRow="1" w:lastRow="0" w:firstColumn="1" w:lastColumn="0" w:noHBand="0" w:noVBand="1"/>
      </w:tblPr>
      <w:tblGrid>
        <w:gridCol w:w="2337"/>
        <w:gridCol w:w="2337"/>
        <w:gridCol w:w="4411"/>
        <w:gridCol w:w="3510"/>
      </w:tblGrid>
      <w:tr w:rsidR="00442BDB" w:rsidRPr="00A76818" w14:paraId="18A326A2" w14:textId="77777777" w:rsidTr="00F76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5" w:type="dxa"/>
            <w:gridSpan w:val="4"/>
          </w:tcPr>
          <w:p w14:paraId="51A3EC0A" w14:textId="25D8FFB9" w:rsidR="000B73C4" w:rsidRPr="00A76818" w:rsidRDefault="000B73C4" w:rsidP="003570C0">
            <w:pPr>
              <w:keepNext/>
              <w:keepLines/>
              <w:autoSpaceDE w:val="0"/>
              <w:autoSpaceDN w:val="0"/>
              <w:adjustRightInd w:val="0"/>
              <w:contextualSpacing/>
              <w:rPr>
                <w:rFonts w:ascii="Calibri" w:hAnsi="Calibri" w:cs="Calibri"/>
                <w:b w:val="0"/>
                <w:bCs w:val="0"/>
                <w:color w:val="000000" w:themeColor="text1"/>
                <w:u w:val="single"/>
              </w:rPr>
            </w:pPr>
            <w:r w:rsidRPr="00A76818">
              <w:rPr>
                <w:rFonts w:ascii="Calibri" w:hAnsi="Calibri" w:cs="Calibri"/>
                <w:b w:val="0"/>
                <w:bCs w:val="0"/>
                <w:color w:val="000000" w:themeColor="text1"/>
              </w:rPr>
              <w:t>ESG Emergency Shelter – Summary of Eligible Activities</w:t>
            </w:r>
          </w:p>
        </w:tc>
      </w:tr>
      <w:tr w:rsidR="00442BDB" w:rsidRPr="00A76818" w14:paraId="1BFE76D8" w14:textId="77777777" w:rsidTr="00F76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5" w:type="dxa"/>
            <w:gridSpan w:val="4"/>
          </w:tcPr>
          <w:p w14:paraId="460DD703" w14:textId="77777777" w:rsidR="000B73C4" w:rsidRPr="00A76818" w:rsidRDefault="000B73C4" w:rsidP="003570C0">
            <w:pPr>
              <w:keepNext/>
              <w:keepLines/>
              <w:autoSpaceDE w:val="0"/>
              <w:autoSpaceDN w:val="0"/>
              <w:adjustRightInd w:val="0"/>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t>Essential Services</w:t>
            </w:r>
          </w:p>
        </w:tc>
      </w:tr>
      <w:tr w:rsidR="00442BDB" w:rsidRPr="00A76818" w14:paraId="7576F6B8" w14:textId="77777777" w:rsidTr="00F769D9">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0C21ED67"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Case Management</w:t>
            </w:r>
          </w:p>
        </w:tc>
        <w:tc>
          <w:tcPr>
            <w:tcW w:w="2337" w:type="dxa"/>
            <w:shd w:val="clear" w:color="auto" w:fill="FFFFFF" w:themeFill="background1"/>
          </w:tcPr>
          <w:p w14:paraId="0C9D2CFD" w14:textId="77777777" w:rsidR="000B73C4" w:rsidRPr="00A76818" w:rsidRDefault="000B73C4"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Childcare</w:t>
            </w:r>
          </w:p>
        </w:tc>
        <w:tc>
          <w:tcPr>
            <w:tcW w:w="4411" w:type="dxa"/>
            <w:shd w:val="clear" w:color="auto" w:fill="FFFFFF" w:themeFill="background1"/>
          </w:tcPr>
          <w:p w14:paraId="04D38B9A" w14:textId="77777777" w:rsidR="000B73C4" w:rsidRPr="00A76818" w:rsidRDefault="000B73C4"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Education Services</w:t>
            </w:r>
          </w:p>
        </w:tc>
        <w:tc>
          <w:tcPr>
            <w:tcW w:w="3510" w:type="dxa"/>
            <w:shd w:val="clear" w:color="auto" w:fill="FFFFFF" w:themeFill="background1"/>
          </w:tcPr>
          <w:p w14:paraId="429F546F" w14:textId="77777777" w:rsidR="000B73C4" w:rsidRPr="00A76818" w:rsidRDefault="000B73C4"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Employment &amp; Job Search</w:t>
            </w:r>
          </w:p>
        </w:tc>
      </w:tr>
      <w:tr w:rsidR="00442BDB" w:rsidRPr="00A76818" w14:paraId="13236F92" w14:textId="77777777" w:rsidTr="00F76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6FE3ED39"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Outpatient Health Services</w:t>
            </w:r>
          </w:p>
        </w:tc>
        <w:tc>
          <w:tcPr>
            <w:tcW w:w="2337" w:type="dxa"/>
            <w:shd w:val="clear" w:color="auto" w:fill="FFFFFF" w:themeFill="background1"/>
          </w:tcPr>
          <w:p w14:paraId="161091A1" w14:textId="77777777" w:rsidR="000B73C4" w:rsidRPr="00A76818" w:rsidRDefault="000B73C4"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Legal Services</w:t>
            </w:r>
          </w:p>
        </w:tc>
        <w:tc>
          <w:tcPr>
            <w:tcW w:w="4411" w:type="dxa"/>
            <w:shd w:val="clear" w:color="auto" w:fill="FFFFFF" w:themeFill="background1"/>
          </w:tcPr>
          <w:p w14:paraId="14AF92F3" w14:textId="77777777" w:rsidR="000B73C4" w:rsidRPr="00A76818" w:rsidRDefault="000B73C4"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Life Skills Training</w:t>
            </w:r>
          </w:p>
        </w:tc>
        <w:tc>
          <w:tcPr>
            <w:tcW w:w="3510" w:type="dxa"/>
            <w:shd w:val="clear" w:color="auto" w:fill="FFFFFF" w:themeFill="background1"/>
          </w:tcPr>
          <w:p w14:paraId="2EA5365E" w14:textId="77777777" w:rsidR="000B73C4" w:rsidRPr="00A76818" w:rsidRDefault="000B73C4"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Mental Health Services</w:t>
            </w:r>
          </w:p>
        </w:tc>
      </w:tr>
      <w:tr w:rsidR="000B73C4" w:rsidRPr="00A76818" w14:paraId="1E541837" w14:textId="77777777" w:rsidTr="00F769D9">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517BE916"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Substance Abuse Treatment Services</w:t>
            </w:r>
          </w:p>
        </w:tc>
        <w:tc>
          <w:tcPr>
            <w:tcW w:w="2337" w:type="dxa"/>
            <w:shd w:val="clear" w:color="auto" w:fill="FFFFFF" w:themeFill="background1"/>
          </w:tcPr>
          <w:p w14:paraId="19A9E1E9" w14:textId="77777777" w:rsidR="000B73C4" w:rsidRPr="00A76818" w:rsidRDefault="000B73C4"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Transportation</w:t>
            </w:r>
          </w:p>
        </w:tc>
        <w:tc>
          <w:tcPr>
            <w:tcW w:w="4411" w:type="dxa"/>
            <w:shd w:val="clear" w:color="auto" w:fill="FFFFFF" w:themeFill="background1"/>
          </w:tcPr>
          <w:p w14:paraId="254C7738" w14:textId="77777777" w:rsidR="000B73C4" w:rsidRPr="00A76818" w:rsidRDefault="000B73C4"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Services for Special Populations</w:t>
            </w:r>
          </w:p>
        </w:tc>
        <w:tc>
          <w:tcPr>
            <w:tcW w:w="3510" w:type="dxa"/>
            <w:shd w:val="clear" w:color="auto" w:fill="FFFFFF" w:themeFill="background1"/>
          </w:tcPr>
          <w:p w14:paraId="01867571" w14:textId="77777777" w:rsidR="000B73C4" w:rsidRPr="00A76818" w:rsidRDefault="000B73C4"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u w:val="single"/>
              </w:rPr>
            </w:pPr>
          </w:p>
        </w:tc>
      </w:tr>
      <w:tr w:rsidR="00442BDB" w:rsidRPr="00A76818" w14:paraId="5D4FB2E1" w14:textId="77777777" w:rsidTr="00F76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5" w:type="dxa"/>
            <w:gridSpan w:val="4"/>
          </w:tcPr>
          <w:p w14:paraId="1B31B73F" w14:textId="77777777" w:rsidR="000B73C4" w:rsidRPr="00A76818" w:rsidRDefault="000B73C4" w:rsidP="00A76818">
            <w:pPr>
              <w:autoSpaceDE w:val="0"/>
              <w:autoSpaceDN w:val="0"/>
              <w:adjustRightInd w:val="0"/>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t>Renovation</w:t>
            </w:r>
          </w:p>
        </w:tc>
      </w:tr>
      <w:tr w:rsidR="00442BDB" w:rsidRPr="00A76818" w14:paraId="500A1673" w14:textId="77777777" w:rsidTr="00F769D9">
        <w:tc>
          <w:tcPr>
            <w:cnfStyle w:val="001000000000" w:firstRow="0" w:lastRow="0" w:firstColumn="1" w:lastColumn="0" w:oddVBand="0" w:evenVBand="0" w:oddHBand="0" w:evenHBand="0" w:firstRowFirstColumn="0" w:firstRowLastColumn="0" w:lastRowFirstColumn="0" w:lastRowLastColumn="0"/>
            <w:tcW w:w="12595" w:type="dxa"/>
            <w:gridSpan w:val="4"/>
            <w:shd w:val="clear" w:color="auto" w:fill="C7E2FA" w:themeFill="accent1" w:themeFillTint="33"/>
          </w:tcPr>
          <w:p w14:paraId="558E52C4" w14:textId="77777777" w:rsidR="000B73C4" w:rsidRPr="00A76818" w:rsidRDefault="000B73C4" w:rsidP="00A76818">
            <w:pPr>
              <w:autoSpaceDE w:val="0"/>
              <w:autoSpaceDN w:val="0"/>
              <w:adjustRightInd w:val="0"/>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t>Shelter Operations</w:t>
            </w:r>
          </w:p>
        </w:tc>
      </w:tr>
      <w:tr w:rsidR="00442BDB" w:rsidRPr="00A76818" w14:paraId="1F623132" w14:textId="77777777" w:rsidTr="00F76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5" w:type="dxa"/>
            <w:gridSpan w:val="4"/>
          </w:tcPr>
          <w:p w14:paraId="2E0C0D2D" w14:textId="77777777" w:rsidR="000B73C4" w:rsidRPr="00A76818" w:rsidRDefault="000B73C4" w:rsidP="00A76818">
            <w:pPr>
              <w:autoSpaceDE w:val="0"/>
              <w:autoSpaceDN w:val="0"/>
              <w:adjustRightInd w:val="0"/>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t>Assistance Required Under the Uniform Relocation Assistance and Real Property Acquisition Policies Act of 1970</w:t>
            </w:r>
          </w:p>
        </w:tc>
      </w:tr>
    </w:tbl>
    <w:p w14:paraId="7693AD93" w14:textId="77777777" w:rsidR="003420D9" w:rsidRPr="00A76818" w:rsidRDefault="003420D9" w:rsidP="000604EE">
      <w:pPr>
        <w:contextualSpacing/>
        <w:rPr>
          <w:rFonts w:ascii="Calibri" w:hAnsi="Calibri" w:cs="Calibri"/>
          <w:color w:val="000000" w:themeColor="text1"/>
        </w:rPr>
      </w:pPr>
    </w:p>
    <w:p w14:paraId="48B8A596" w14:textId="77777777" w:rsidR="00BC6C26" w:rsidRPr="0058586C" w:rsidRDefault="00BC6C26">
      <w:pPr>
        <w:pStyle w:val="Heading2"/>
        <w:numPr>
          <w:ilvl w:val="0"/>
          <w:numId w:val="17"/>
        </w:numPr>
        <w:spacing w:before="0" w:line="240" w:lineRule="auto"/>
        <w:contextualSpacing/>
        <w:rPr>
          <w:color w:val="0070C0"/>
        </w:rPr>
      </w:pPr>
      <w:bookmarkStart w:id="139" w:name="_Toc124255047"/>
      <w:r w:rsidRPr="0058586C">
        <w:rPr>
          <w:color w:val="0070C0"/>
        </w:rPr>
        <w:t>Duration of Assistance</w:t>
      </w:r>
      <w:bookmarkEnd w:id="139"/>
      <w:r w:rsidRPr="0058586C">
        <w:rPr>
          <w:color w:val="0070C0"/>
        </w:rPr>
        <w:t xml:space="preserve"> </w:t>
      </w:r>
    </w:p>
    <w:p w14:paraId="11F3E913" w14:textId="59CE0D3D" w:rsidR="00D67A35" w:rsidRPr="00A76818" w:rsidRDefault="00990283">
      <w:pPr>
        <w:pStyle w:val="ListParagraph"/>
        <w:numPr>
          <w:ilvl w:val="0"/>
          <w:numId w:val="22"/>
        </w:numPr>
        <w:rPr>
          <w:rFonts w:ascii="Calibri" w:hAnsi="Calibri"/>
          <w:color w:val="000000" w:themeColor="text1"/>
        </w:rPr>
      </w:pPr>
      <w:r w:rsidRPr="00A76818">
        <w:rPr>
          <w:rFonts w:ascii="Calibri" w:hAnsi="Calibri"/>
          <w:color w:val="000000" w:themeColor="text1"/>
        </w:rPr>
        <w:t xml:space="preserve">Local: </w:t>
      </w:r>
      <w:r w:rsidR="00D67A35" w:rsidRPr="00A76818">
        <w:rPr>
          <w:rFonts w:ascii="Calibri" w:hAnsi="Calibri"/>
          <w:color w:val="000000" w:themeColor="text1"/>
        </w:rPr>
        <w:t>To the extent p</w:t>
      </w:r>
      <w:r w:rsidRPr="00A76818">
        <w:rPr>
          <w:rFonts w:ascii="Calibri" w:hAnsi="Calibri"/>
          <w:color w:val="000000" w:themeColor="text1"/>
        </w:rPr>
        <w:t>ossible</w:t>
      </w:r>
      <w:r w:rsidR="00D67A35" w:rsidRPr="00A76818">
        <w:rPr>
          <w:rFonts w:ascii="Calibri" w:hAnsi="Calibri"/>
          <w:color w:val="000000" w:themeColor="text1"/>
        </w:rPr>
        <w:t xml:space="preserve">, </w:t>
      </w:r>
      <w:r w:rsidRPr="00A76818">
        <w:rPr>
          <w:rFonts w:ascii="Calibri" w:hAnsi="Calibri"/>
          <w:color w:val="000000" w:themeColor="text1"/>
        </w:rPr>
        <w:t>households</w:t>
      </w:r>
      <w:r w:rsidR="00D67A35" w:rsidRPr="00A76818">
        <w:rPr>
          <w:rFonts w:ascii="Calibri" w:hAnsi="Calibri"/>
          <w:color w:val="000000" w:themeColor="text1"/>
        </w:rPr>
        <w:t xml:space="preserve"> will be assisted in obtaining housing within 30 days of entry into the emergency shelter. </w:t>
      </w:r>
    </w:p>
    <w:p w14:paraId="6EB539F1" w14:textId="69D7AC25" w:rsidR="00BC6C26" w:rsidRPr="00A76818" w:rsidRDefault="00BC6C26">
      <w:pPr>
        <w:pStyle w:val="ListParagraph"/>
        <w:numPr>
          <w:ilvl w:val="0"/>
          <w:numId w:val="22"/>
        </w:numPr>
        <w:rPr>
          <w:rFonts w:ascii="Calibri" w:hAnsi="Calibri"/>
          <w:color w:val="000000" w:themeColor="text1"/>
        </w:rPr>
      </w:pPr>
      <w:r w:rsidRPr="00A76818">
        <w:rPr>
          <w:rFonts w:ascii="Calibri" w:hAnsi="Calibri"/>
          <w:color w:val="000000" w:themeColor="text1"/>
          <w:u w:val="single"/>
        </w:rPr>
        <w:t>ESG</w:t>
      </w:r>
      <w:r w:rsidR="00D67A35" w:rsidRPr="00A76818">
        <w:rPr>
          <w:rFonts w:ascii="Calibri" w:hAnsi="Calibri"/>
          <w:color w:val="000000" w:themeColor="text1"/>
        </w:rPr>
        <w:t xml:space="preserve"> </w:t>
      </w:r>
      <w:r w:rsidRPr="00A76818">
        <w:rPr>
          <w:rFonts w:ascii="Calibri" w:hAnsi="Calibri"/>
          <w:color w:val="000000" w:themeColor="text1"/>
        </w:rPr>
        <w:t xml:space="preserve">Emergency Shelters must operate a maximum 90-day project model. </w:t>
      </w:r>
    </w:p>
    <w:p w14:paraId="60640991" w14:textId="71862C8A" w:rsidR="00D67A35" w:rsidRPr="00A76818" w:rsidRDefault="00D67A35">
      <w:pPr>
        <w:pStyle w:val="ListParagraph"/>
        <w:numPr>
          <w:ilvl w:val="1"/>
          <w:numId w:val="101"/>
        </w:numPr>
        <w:rPr>
          <w:rFonts w:ascii="Calibri" w:hAnsi="Calibri"/>
          <w:color w:val="000000" w:themeColor="text1"/>
        </w:rPr>
      </w:pPr>
      <w:r w:rsidRPr="00A76818">
        <w:rPr>
          <w:rFonts w:ascii="Calibri" w:hAnsi="Calibri"/>
          <w:color w:val="000000" w:themeColor="text1"/>
        </w:rPr>
        <w:lastRenderedPageBreak/>
        <w:t xml:space="preserve">All ESG-shelters will strive to reduce the average length of stay. However, </w:t>
      </w:r>
      <w:r w:rsidR="00990283" w:rsidRPr="00A76818">
        <w:rPr>
          <w:rFonts w:ascii="Calibri" w:hAnsi="Calibri"/>
          <w:color w:val="000000" w:themeColor="text1"/>
        </w:rPr>
        <w:t>households</w:t>
      </w:r>
      <w:r w:rsidRPr="00A76818">
        <w:rPr>
          <w:rFonts w:ascii="Calibri" w:hAnsi="Calibri"/>
          <w:color w:val="000000" w:themeColor="text1"/>
        </w:rPr>
        <w:t xml:space="preserve"> may stay longer in order to prevent </w:t>
      </w:r>
      <w:r w:rsidR="00990283" w:rsidRPr="00A76818">
        <w:rPr>
          <w:rFonts w:ascii="Calibri" w:hAnsi="Calibri"/>
          <w:color w:val="000000" w:themeColor="text1"/>
        </w:rPr>
        <w:t xml:space="preserve">returns to homelessness. </w:t>
      </w:r>
    </w:p>
    <w:p w14:paraId="4C2BDD5B" w14:textId="73714047" w:rsidR="006E66A5" w:rsidRPr="00A76818" w:rsidRDefault="006E66A5">
      <w:pPr>
        <w:pStyle w:val="ListParagraph"/>
        <w:numPr>
          <w:ilvl w:val="0"/>
          <w:numId w:val="22"/>
        </w:numPr>
        <w:rPr>
          <w:rFonts w:ascii="Calibri" w:hAnsi="Calibri"/>
          <w:color w:val="000000" w:themeColor="text1"/>
        </w:rPr>
      </w:pPr>
      <w:r w:rsidRPr="00A76818">
        <w:rPr>
          <w:rFonts w:ascii="Calibri" w:hAnsi="Calibri"/>
          <w:color w:val="000000" w:themeColor="text1"/>
        </w:rPr>
        <w:t xml:space="preserve">Exits to homelessness are avoided whenever possible, even when program rules are violated. </w:t>
      </w:r>
    </w:p>
    <w:p w14:paraId="5ABBD070" w14:textId="158923B5" w:rsidR="006E66A5" w:rsidRPr="00A76818" w:rsidRDefault="006E66A5">
      <w:pPr>
        <w:pStyle w:val="ListParagraph"/>
        <w:numPr>
          <w:ilvl w:val="1"/>
          <w:numId w:val="102"/>
        </w:numPr>
        <w:rPr>
          <w:rFonts w:ascii="Calibri" w:hAnsi="Calibri"/>
          <w:color w:val="000000" w:themeColor="text1"/>
        </w:rPr>
      </w:pPr>
      <w:r w:rsidRPr="00A76818">
        <w:rPr>
          <w:rFonts w:ascii="Calibri" w:hAnsi="Calibri"/>
          <w:color w:val="000000" w:themeColor="text1"/>
        </w:rPr>
        <w:t>When possible, households should be moved to other emergency shelters or more intensive programs to avoid returns to homelessness.</w:t>
      </w:r>
    </w:p>
    <w:p w14:paraId="5A814896" w14:textId="21374283" w:rsidR="00BC6C26" w:rsidRPr="00A76818" w:rsidRDefault="00F642B9">
      <w:pPr>
        <w:pStyle w:val="ListParagraph"/>
        <w:numPr>
          <w:ilvl w:val="1"/>
          <w:numId w:val="102"/>
        </w:numPr>
        <w:rPr>
          <w:rFonts w:ascii="Calibri" w:hAnsi="Calibri"/>
          <w:color w:val="000000" w:themeColor="text1"/>
        </w:rPr>
      </w:pPr>
      <w:r w:rsidRPr="00A76818">
        <w:rPr>
          <w:rFonts w:ascii="Calibri" w:hAnsi="Calibri"/>
          <w:color w:val="000000" w:themeColor="text1"/>
        </w:rPr>
        <w:t>Households will only move to another emergency shelter or a transitional housing unit when (1) they desire and choose, (2) that location is more appropriate to meet the household’s health and safety needs, and (3) No permanent housing solution is available that meets the household’s needs</w:t>
      </w:r>
      <w:r w:rsidR="006E66A5" w:rsidRPr="00A76818">
        <w:rPr>
          <w:rFonts w:ascii="Calibri" w:hAnsi="Calibri"/>
          <w:color w:val="000000" w:themeColor="text1"/>
        </w:rPr>
        <w:t xml:space="preserve">. </w:t>
      </w:r>
    </w:p>
    <w:p w14:paraId="229E982F" w14:textId="77777777" w:rsidR="0074753C" w:rsidRDefault="00383A9F">
      <w:pPr>
        <w:pStyle w:val="ListParagraph"/>
        <w:numPr>
          <w:ilvl w:val="0"/>
          <w:numId w:val="22"/>
        </w:numPr>
      </w:pPr>
      <w:r w:rsidRPr="00A76818">
        <w:rPr>
          <w:rFonts w:ascii="Calibri" w:hAnsi="Calibri" w:cs="Calibri"/>
          <w:color w:val="000000" w:themeColor="text1"/>
        </w:rPr>
        <w:t xml:space="preserve">For more information about program exits, please see “Standards for Termination of Assistance and Grievance Procedure” </w:t>
      </w:r>
      <w:r w:rsidR="00E72448">
        <w:rPr>
          <w:rFonts w:ascii="Calibri" w:hAnsi="Calibri" w:cs="Calibri"/>
          <w:color w:val="000000" w:themeColor="text1"/>
        </w:rPr>
        <w:t>(pg</w:t>
      </w:r>
      <w:r w:rsidRPr="00A76818">
        <w:rPr>
          <w:rFonts w:ascii="Calibri" w:hAnsi="Calibri" w:cs="Calibri"/>
          <w:color w:val="000000" w:themeColor="text1"/>
        </w:rPr>
        <w:t>.</w:t>
      </w:r>
      <w:r w:rsidR="00E72448">
        <w:rPr>
          <w:rFonts w:ascii="Calibri" w:hAnsi="Calibri" w:cs="Calibri"/>
          <w:color w:val="000000" w:themeColor="text1"/>
        </w:rPr>
        <w:t xml:space="preserve"> 13-14).</w:t>
      </w:r>
      <w:r w:rsidR="00E72448" w:rsidRPr="00A76818">
        <w:t xml:space="preserve"> </w:t>
      </w:r>
    </w:p>
    <w:bookmarkEnd w:id="132"/>
    <w:p w14:paraId="78B76955" w14:textId="72D6A545" w:rsidR="0074753C" w:rsidRDefault="0074753C" w:rsidP="0074753C"/>
    <w:p w14:paraId="2C49EBC1" w14:textId="31E1A13A" w:rsidR="003570C0" w:rsidRPr="0058586C" w:rsidRDefault="003570C0">
      <w:pPr>
        <w:pStyle w:val="Heading2"/>
        <w:numPr>
          <w:ilvl w:val="0"/>
          <w:numId w:val="17"/>
        </w:numPr>
        <w:spacing w:before="0" w:line="240" w:lineRule="auto"/>
        <w:contextualSpacing/>
        <w:rPr>
          <w:color w:val="0070C0"/>
        </w:rPr>
      </w:pPr>
      <w:bookmarkStart w:id="140" w:name="_Toc124255048"/>
      <w:r w:rsidRPr="0058586C">
        <w:rPr>
          <w:color w:val="0070C0"/>
        </w:rPr>
        <w:t>ESG-CV Standards for Emergency Shelter</w:t>
      </w:r>
      <w:bookmarkEnd w:id="140"/>
    </w:p>
    <w:p w14:paraId="2E36D1F9" w14:textId="77777777" w:rsidR="003570C0" w:rsidRDefault="003570C0">
      <w:pPr>
        <w:pStyle w:val="ListParagraph"/>
        <w:numPr>
          <w:ilvl w:val="0"/>
          <w:numId w:val="88"/>
        </w:numPr>
        <w:rPr>
          <w:rFonts w:ascii="Calibri" w:hAnsi="Calibri" w:cs="Calibri"/>
          <w:color w:val="000000" w:themeColor="text1"/>
        </w:rPr>
      </w:pPr>
      <w:r w:rsidRPr="00A76818">
        <w:rPr>
          <w:rFonts w:ascii="Calibri" w:hAnsi="Calibri" w:cs="Calibri"/>
          <w:color w:val="000000" w:themeColor="text1"/>
        </w:rPr>
        <w:t>A</w:t>
      </w:r>
      <w:r>
        <w:rPr>
          <w:rFonts w:ascii="Calibri" w:hAnsi="Calibri" w:cs="Calibri"/>
          <w:color w:val="000000" w:themeColor="text1"/>
        </w:rPr>
        <w:t>dditional eligible activities:</w:t>
      </w:r>
    </w:p>
    <w:p w14:paraId="2AE60F99" w14:textId="3DD928BC" w:rsidR="003570C0" w:rsidRPr="003570C0" w:rsidRDefault="003570C0">
      <w:pPr>
        <w:pStyle w:val="ListParagraph"/>
        <w:numPr>
          <w:ilvl w:val="2"/>
          <w:numId w:val="88"/>
        </w:numPr>
        <w:rPr>
          <w:rFonts w:ascii="Calibri" w:hAnsi="Calibri" w:cs="Calibri"/>
          <w:color w:val="000000" w:themeColor="text1"/>
        </w:rPr>
      </w:pPr>
      <w:r w:rsidRPr="003570C0">
        <w:rPr>
          <w:rFonts w:ascii="Calibri" w:hAnsi="Calibri" w:cs="Calibri"/>
        </w:rPr>
        <w:t>Infectious Disease Prevention Training: ESG-CV funds may be used for training on infectious disease prevention and mitigation for staff working directly to prevent, prepare for, and respond to coronavirus among persons who are homeless or at risk of homelessness. Infectious Disease Prevention Training costs are to be tracked separately.</w:t>
      </w:r>
    </w:p>
    <w:p w14:paraId="4EFC988D" w14:textId="61D48854" w:rsidR="003570C0" w:rsidRPr="003570C0" w:rsidRDefault="003570C0">
      <w:pPr>
        <w:pStyle w:val="ListParagraph"/>
        <w:numPr>
          <w:ilvl w:val="2"/>
          <w:numId w:val="88"/>
        </w:numPr>
        <w:rPr>
          <w:rFonts w:ascii="Calibri" w:hAnsi="Calibri" w:cs="Calibri"/>
          <w:color w:val="000000" w:themeColor="text1"/>
        </w:rPr>
      </w:pPr>
      <w:r w:rsidRPr="003570C0">
        <w:rPr>
          <w:rFonts w:ascii="Calibri" w:hAnsi="Calibri" w:cs="Calibri"/>
        </w:rPr>
        <w:t>Hazard Pay: ESG-CV funds may be used to provide hazard pay for staff working directly to prevent, prepare for, and respond to coronavirus among persons who are homeless or at risk of homelessness. Examples of staff working directly in support of coronavirus response include emergency shelter intake, maintenance, and security staff, as well as staff working in proximity to persons with coronavirus or working in locations with a high likelihood of contracting coronavirus.</w:t>
      </w:r>
    </w:p>
    <w:p w14:paraId="317EEB03" w14:textId="70299A3C" w:rsidR="003570C0" w:rsidRPr="003570C0" w:rsidRDefault="003570C0">
      <w:pPr>
        <w:pStyle w:val="ListParagraph"/>
        <w:numPr>
          <w:ilvl w:val="2"/>
          <w:numId w:val="88"/>
        </w:numPr>
        <w:rPr>
          <w:rFonts w:ascii="Calibri" w:hAnsi="Calibri" w:cs="Calibri"/>
          <w:color w:val="000000" w:themeColor="text1"/>
        </w:rPr>
      </w:pPr>
      <w:r w:rsidRPr="003570C0">
        <w:rPr>
          <w:rFonts w:ascii="Calibri" w:hAnsi="Calibri" w:cs="Calibri"/>
        </w:rPr>
        <w:t>Volunteer Incentives: ESG-CV funds may be used to pay for the cost of providing reasonable incentives to volunteers (e.g., cash or gift cards), who are helping to provide necessary essential services or housing relocation and stabilization services during the coronavirus outbreak. The provision to allow the payment for reasonable volunteer incentive costs will increase the number of people available to provide the needed services and connections to housing for individuals and families experiencing homelessness to prevent the spread of coronavirus. In addition, this provision acknowledges that the normal volunteer pool available to grantees may not be available.</w:t>
      </w:r>
    </w:p>
    <w:p w14:paraId="56F13B2B" w14:textId="2E23C931" w:rsidR="003570C0" w:rsidRDefault="003570C0">
      <w:pPr>
        <w:pStyle w:val="ListParagraph"/>
        <w:numPr>
          <w:ilvl w:val="1"/>
          <w:numId w:val="88"/>
        </w:numPr>
        <w:rPr>
          <w:rFonts w:ascii="Calibri" w:hAnsi="Calibri" w:cs="Calibri"/>
          <w:color w:val="000000" w:themeColor="text1"/>
        </w:rPr>
      </w:pPr>
      <w:r>
        <w:rPr>
          <w:rFonts w:ascii="Calibri" w:hAnsi="Calibri" w:cs="Calibri"/>
          <w:color w:val="000000" w:themeColor="text1"/>
        </w:rPr>
        <w:t>Participant eligibility</w:t>
      </w:r>
    </w:p>
    <w:p w14:paraId="2DEA2016" w14:textId="790135A2" w:rsidR="003570C0" w:rsidRPr="003570C0" w:rsidRDefault="003570C0">
      <w:pPr>
        <w:pStyle w:val="ListParagraph"/>
        <w:numPr>
          <w:ilvl w:val="2"/>
          <w:numId w:val="88"/>
        </w:numPr>
        <w:rPr>
          <w:rFonts w:ascii="Calibri" w:hAnsi="Calibri" w:cs="Calibri"/>
          <w:color w:val="000000" w:themeColor="text1"/>
        </w:rPr>
      </w:pPr>
      <w:r w:rsidRPr="00284B8D">
        <w:rPr>
          <w:rFonts w:ascii="Calibri" w:hAnsi="Calibri" w:cs="Calibri"/>
        </w:rPr>
        <w:t>People who qualify as “homeless”, based on categories (1, 2, or 4) of the “homeless” definition found at 24 CFR 576.2, are eligible for the following activities in compliance with federal ESG rules (24 CFR 576.102):</w:t>
      </w:r>
    </w:p>
    <w:p w14:paraId="3E738F66" w14:textId="192A4A63" w:rsidR="003570C0" w:rsidRPr="003570C0" w:rsidRDefault="003570C0">
      <w:pPr>
        <w:pStyle w:val="ListParagraph"/>
        <w:numPr>
          <w:ilvl w:val="3"/>
          <w:numId w:val="88"/>
        </w:numPr>
        <w:rPr>
          <w:rFonts w:ascii="Calibri" w:hAnsi="Calibri" w:cs="Calibri"/>
          <w:color w:val="000000" w:themeColor="text1"/>
        </w:rPr>
      </w:pPr>
      <w:r w:rsidRPr="00284B8D">
        <w:rPr>
          <w:rFonts w:ascii="Calibri" w:hAnsi="Calibri" w:cs="Calibri"/>
        </w:rPr>
        <w:t>case management;</w:t>
      </w:r>
    </w:p>
    <w:p w14:paraId="06748645" w14:textId="784F7C6B" w:rsidR="003570C0" w:rsidRPr="003570C0" w:rsidRDefault="003570C0">
      <w:pPr>
        <w:pStyle w:val="ListParagraph"/>
        <w:numPr>
          <w:ilvl w:val="3"/>
          <w:numId w:val="88"/>
        </w:numPr>
        <w:rPr>
          <w:rFonts w:ascii="Calibri" w:hAnsi="Calibri" w:cs="Calibri"/>
          <w:color w:val="000000" w:themeColor="text1"/>
        </w:rPr>
      </w:pPr>
      <w:r w:rsidRPr="00284B8D">
        <w:rPr>
          <w:rFonts w:ascii="Calibri" w:hAnsi="Calibri" w:cs="Calibri"/>
        </w:rPr>
        <w:lastRenderedPageBreak/>
        <w:t>childcare;</w:t>
      </w:r>
    </w:p>
    <w:p w14:paraId="1C64FDED" w14:textId="6A579215" w:rsidR="003570C0" w:rsidRPr="003570C0" w:rsidRDefault="003570C0">
      <w:pPr>
        <w:pStyle w:val="ListParagraph"/>
        <w:numPr>
          <w:ilvl w:val="3"/>
          <w:numId w:val="88"/>
        </w:numPr>
        <w:rPr>
          <w:rFonts w:ascii="Calibri" w:hAnsi="Calibri" w:cs="Calibri"/>
          <w:color w:val="000000" w:themeColor="text1"/>
        </w:rPr>
      </w:pPr>
      <w:r w:rsidRPr="00284B8D">
        <w:rPr>
          <w:rFonts w:ascii="Calibri" w:hAnsi="Calibri" w:cs="Calibri"/>
        </w:rPr>
        <w:t>education, employment and life skills services;</w:t>
      </w:r>
    </w:p>
    <w:p w14:paraId="3C8C318E" w14:textId="56862101" w:rsidR="003570C0" w:rsidRPr="003570C0" w:rsidRDefault="003570C0">
      <w:pPr>
        <w:pStyle w:val="ListParagraph"/>
        <w:numPr>
          <w:ilvl w:val="3"/>
          <w:numId w:val="88"/>
        </w:numPr>
        <w:rPr>
          <w:rFonts w:ascii="Calibri" w:hAnsi="Calibri" w:cs="Calibri"/>
          <w:color w:val="000000" w:themeColor="text1"/>
        </w:rPr>
      </w:pPr>
      <w:r w:rsidRPr="00284B8D">
        <w:rPr>
          <w:rFonts w:ascii="Calibri" w:hAnsi="Calibri" w:cs="Calibri"/>
        </w:rPr>
        <w:t>legal services (not allowable: mortgage and mortgage arrearage payments);</w:t>
      </w:r>
    </w:p>
    <w:p w14:paraId="72AD0BE3" w14:textId="0B4CE209" w:rsidR="003570C0" w:rsidRPr="003570C0" w:rsidRDefault="003570C0">
      <w:pPr>
        <w:pStyle w:val="ListParagraph"/>
        <w:numPr>
          <w:ilvl w:val="3"/>
          <w:numId w:val="88"/>
        </w:numPr>
        <w:rPr>
          <w:rFonts w:ascii="Calibri" w:hAnsi="Calibri" w:cs="Calibri"/>
          <w:color w:val="000000" w:themeColor="text1"/>
        </w:rPr>
      </w:pPr>
      <w:r w:rsidRPr="00284B8D">
        <w:rPr>
          <w:rFonts w:ascii="Calibri" w:hAnsi="Calibri" w:cs="Calibri"/>
        </w:rPr>
        <w:t>health, mental health and substance abuse services;</w:t>
      </w:r>
    </w:p>
    <w:p w14:paraId="1F882673" w14:textId="78F5E434" w:rsidR="003570C0" w:rsidRPr="003570C0" w:rsidRDefault="003570C0">
      <w:pPr>
        <w:pStyle w:val="ListParagraph"/>
        <w:numPr>
          <w:ilvl w:val="3"/>
          <w:numId w:val="88"/>
        </w:numPr>
        <w:rPr>
          <w:rFonts w:ascii="Calibri" w:hAnsi="Calibri" w:cs="Calibri"/>
          <w:color w:val="000000" w:themeColor="text1"/>
        </w:rPr>
      </w:pPr>
      <w:r w:rsidRPr="00284B8D">
        <w:rPr>
          <w:rFonts w:ascii="Calibri" w:hAnsi="Calibri" w:cs="Calibri"/>
        </w:rPr>
        <w:t>and transportation.</w:t>
      </w:r>
    </w:p>
    <w:p w14:paraId="0C409F3F" w14:textId="406CDA16" w:rsidR="003570C0" w:rsidRPr="003570C0" w:rsidRDefault="003570C0">
      <w:pPr>
        <w:pStyle w:val="ListParagraph"/>
        <w:numPr>
          <w:ilvl w:val="1"/>
          <w:numId w:val="88"/>
        </w:numPr>
        <w:rPr>
          <w:rFonts w:ascii="Calibri" w:hAnsi="Calibri" w:cs="Calibri"/>
          <w:color w:val="000000" w:themeColor="text1"/>
        </w:rPr>
      </w:pPr>
      <w:r>
        <w:rPr>
          <w:rFonts w:ascii="Calibri" w:hAnsi="Calibri" w:cs="Calibri"/>
        </w:rPr>
        <w:t>Minimum Standards</w:t>
      </w:r>
    </w:p>
    <w:p w14:paraId="22312481" w14:textId="77777777" w:rsidR="003570C0" w:rsidRPr="003570C0" w:rsidRDefault="003570C0">
      <w:pPr>
        <w:pStyle w:val="ListParagraph"/>
        <w:numPr>
          <w:ilvl w:val="2"/>
          <w:numId w:val="88"/>
        </w:numPr>
        <w:rPr>
          <w:rFonts w:ascii="Calibri" w:hAnsi="Calibri" w:cs="Calibri"/>
          <w:color w:val="000000" w:themeColor="text1"/>
        </w:rPr>
      </w:pPr>
      <w:r>
        <w:rPr>
          <w:rFonts w:ascii="Calibri" w:hAnsi="Calibri" w:cs="Calibri"/>
        </w:rPr>
        <w:t>F</w:t>
      </w:r>
      <w:r w:rsidRPr="000800C5">
        <w:rPr>
          <w:rFonts w:ascii="Calibri" w:hAnsi="Calibri" w:cs="Calibri"/>
        </w:rPr>
        <w:t>amilies who meet the HUD definition of “homeless,” as specified in 24 CFR 576.2 (1, 2, &amp; 4) and the agency’s eligibility criteria.</w:t>
      </w:r>
      <w:r w:rsidRPr="003570C0">
        <w:rPr>
          <w:rFonts w:ascii="Calibri" w:hAnsi="Calibri" w:cs="Calibri"/>
        </w:rPr>
        <w:t xml:space="preserve"> </w:t>
      </w:r>
    </w:p>
    <w:p w14:paraId="2AF753A3" w14:textId="52523E5B" w:rsidR="003570C0" w:rsidRPr="003570C0" w:rsidRDefault="003570C0">
      <w:pPr>
        <w:pStyle w:val="ListParagraph"/>
        <w:numPr>
          <w:ilvl w:val="2"/>
          <w:numId w:val="88"/>
        </w:numPr>
        <w:rPr>
          <w:rFonts w:ascii="Calibri" w:hAnsi="Calibri" w:cs="Calibri"/>
          <w:color w:val="000000" w:themeColor="text1"/>
        </w:rPr>
      </w:pPr>
      <w:r w:rsidRPr="000800C5">
        <w:rPr>
          <w:rFonts w:ascii="Calibri" w:hAnsi="Calibri" w:cs="Calibri"/>
        </w:rPr>
        <w:t>Assessment: Individuals and families shall be offered an initial evaluation to determine eligibility for ESG assistance, as well as the amount and types of assistance needed to regain stability in permanent housing.</w:t>
      </w:r>
    </w:p>
    <w:p w14:paraId="382F0C90" w14:textId="28126BCA" w:rsidR="003570C0" w:rsidRPr="003570C0" w:rsidRDefault="003570C0">
      <w:pPr>
        <w:pStyle w:val="ListParagraph"/>
        <w:numPr>
          <w:ilvl w:val="2"/>
          <w:numId w:val="88"/>
        </w:numPr>
        <w:rPr>
          <w:rFonts w:ascii="Calibri" w:hAnsi="Calibri" w:cs="Calibri"/>
          <w:color w:val="000000" w:themeColor="text1"/>
        </w:rPr>
      </w:pPr>
      <w:r w:rsidRPr="000800C5">
        <w:rPr>
          <w:rFonts w:ascii="Calibri" w:hAnsi="Calibri" w:cs="Calibri"/>
        </w:rPr>
        <w:t>The following Emergency Shelter services may be provided as needed and appropriate:</w:t>
      </w:r>
    </w:p>
    <w:p w14:paraId="65BDE139" w14:textId="239BDC99" w:rsidR="003570C0" w:rsidRPr="003570C0" w:rsidRDefault="003570C0">
      <w:pPr>
        <w:pStyle w:val="ListParagraph"/>
        <w:numPr>
          <w:ilvl w:val="3"/>
          <w:numId w:val="88"/>
        </w:numPr>
        <w:rPr>
          <w:rFonts w:ascii="Calibri" w:hAnsi="Calibri" w:cs="Calibri"/>
          <w:color w:val="000000" w:themeColor="text1"/>
        </w:rPr>
      </w:pPr>
      <w:r w:rsidRPr="000800C5">
        <w:rPr>
          <w:rFonts w:ascii="Calibri" w:hAnsi="Calibri" w:cs="Calibri"/>
        </w:rPr>
        <w:t>c</w:t>
      </w:r>
      <w:r w:rsidRPr="000350B2">
        <w:rPr>
          <w:rFonts w:ascii="Calibri" w:hAnsi="Calibri" w:cs="Calibri"/>
        </w:rPr>
        <w:t>ase management;</w:t>
      </w:r>
    </w:p>
    <w:p w14:paraId="2D6A917B" w14:textId="5A13EE40" w:rsidR="003570C0" w:rsidRPr="003570C0" w:rsidRDefault="003570C0">
      <w:pPr>
        <w:pStyle w:val="ListParagraph"/>
        <w:numPr>
          <w:ilvl w:val="3"/>
          <w:numId w:val="88"/>
        </w:numPr>
        <w:rPr>
          <w:rFonts w:ascii="Calibri" w:hAnsi="Calibri" w:cs="Calibri"/>
          <w:color w:val="000000" w:themeColor="text1"/>
        </w:rPr>
      </w:pPr>
      <w:r w:rsidRPr="000350B2">
        <w:rPr>
          <w:rFonts w:ascii="Calibri" w:hAnsi="Calibri" w:cs="Calibri"/>
        </w:rPr>
        <w:t>childcare;</w:t>
      </w:r>
    </w:p>
    <w:p w14:paraId="49A7F15B" w14:textId="21729314" w:rsidR="003570C0" w:rsidRPr="003570C0" w:rsidRDefault="003570C0">
      <w:pPr>
        <w:pStyle w:val="ListParagraph"/>
        <w:numPr>
          <w:ilvl w:val="3"/>
          <w:numId w:val="88"/>
        </w:numPr>
        <w:rPr>
          <w:rFonts w:ascii="Calibri" w:hAnsi="Calibri" w:cs="Calibri"/>
          <w:color w:val="000000" w:themeColor="text1"/>
        </w:rPr>
      </w:pPr>
      <w:r w:rsidRPr="000350B2">
        <w:rPr>
          <w:rFonts w:ascii="Calibri" w:hAnsi="Calibri" w:cs="Calibri"/>
        </w:rPr>
        <w:t>education services;</w:t>
      </w:r>
    </w:p>
    <w:p w14:paraId="43811E63" w14:textId="3BE864C2" w:rsidR="003570C0" w:rsidRPr="003570C0" w:rsidRDefault="003570C0">
      <w:pPr>
        <w:pStyle w:val="ListParagraph"/>
        <w:numPr>
          <w:ilvl w:val="3"/>
          <w:numId w:val="88"/>
        </w:numPr>
        <w:rPr>
          <w:rFonts w:ascii="Calibri" w:hAnsi="Calibri" w:cs="Calibri"/>
          <w:color w:val="000000" w:themeColor="text1"/>
        </w:rPr>
      </w:pPr>
      <w:r w:rsidRPr="000350B2">
        <w:rPr>
          <w:rFonts w:ascii="Calibri" w:hAnsi="Calibri" w:cs="Calibri"/>
        </w:rPr>
        <w:t>employment assistance and job training;</w:t>
      </w:r>
    </w:p>
    <w:p w14:paraId="5D6E3FDD" w14:textId="22D6545C" w:rsidR="003570C0" w:rsidRPr="003570C0" w:rsidRDefault="003570C0">
      <w:pPr>
        <w:pStyle w:val="ListParagraph"/>
        <w:numPr>
          <w:ilvl w:val="3"/>
          <w:numId w:val="88"/>
        </w:numPr>
        <w:rPr>
          <w:rFonts w:ascii="Calibri" w:hAnsi="Calibri" w:cs="Calibri"/>
          <w:color w:val="000000" w:themeColor="text1"/>
        </w:rPr>
      </w:pPr>
      <w:r w:rsidRPr="000350B2">
        <w:rPr>
          <w:rFonts w:ascii="Calibri" w:hAnsi="Calibri" w:cs="Calibri"/>
        </w:rPr>
        <w:t>outpatient health services;</w:t>
      </w:r>
    </w:p>
    <w:p w14:paraId="136F0FD0" w14:textId="5B2BD74D" w:rsidR="003570C0" w:rsidRPr="003570C0" w:rsidRDefault="003570C0">
      <w:pPr>
        <w:pStyle w:val="ListParagraph"/>
        <w:numPr>
          <w:ilvl w:val="3"/>
          <w:numId w:val="88"/>
        </w:numPr>
        <w:rPr>
          <w:rFonts w:ascii="Calibri" w:hAnsi="Calibri" w:cs="Calibri"/>
          <w:color w:val="000000" w:themeColor="text1"/>
        </w:rPr>
      </w:pPr>
      <w:r w:rsidRPr="000350B2">
        <w:rPr>
          <w:rFonts w:ascii="Calibri" w:hAnsi="Calibri" w:cs="Calibri"/>
        </w:rPr>
        <w:t>legal services;</w:t>
      </w:r>
    </w:p>
    <w:p w14:paraId="3BEF8CF9" w14:textId="463F5BF6" w:rsidR="003570C0" w:rsidRPr="003570C0" w:rsidRDefault="003570C0">
      <w:pPr>
        <w:pStyle w:val="ListParagraph"/>
        <w:numPr>
          <w:ilvl w:val="3"/>
          <w:numId w:val="88"/>
        </w:numPr>
        <w:rPr>
          <w:rFonts w:ascii="Calibri" w:hAnsi="Calibri" w:cs="Calibri"/>
          <w:color w:val="000000" w:themeColor="text1"/>
        </w:rPr>
      </w:pPr>
      <w:r w:rsidRPr="000350B2">
        <w:rPr>
          <w:rFonts w:ascii="Calibri" w:hAnsi="Calibri" w:cs="Calibri"/>
        </w:rPr>
        <w:t>life skills training;</w:t>
      </w:r>
    </w:p>
    <w:p w14:paraId="0EE4523B" w14:textId="77777777" w:rsidR="003570C0" w:rsidRPr="003570C0" w:rsidRDefault="003570C0">
      <w:pPr>
        <w:pStyle w:val="ListParagraph"/>
        <w:numPr>
          <w:ilvl w:val="3"/>
          <w:numId w:val="88"/>
        </w:numPr>
        <w:rPr>
          <w:rFonts w:ascii="Calibri" w:hAnsi="Calibri" w:cs="Calibri"/>
          <w:color w:val="000000" w:themeColor="text1"/>
        </w:rPr>
      </w:pPr>
      <w:r w:rsidRPr="000350B2">
        <w:rPr>
          <w:rFonts w:ascii="Calibri" w:hAnsi="Calibri" w:cs="Calibri"/>
        </w:rPr>
        <w:t>mental health services;</w:t>
      </w:r>
      <w:r w:rsidRPr="003570C0">
        <w:rPr>
          <w:rFonts w:ascii="Calibri" w:hAnsi="Calibri" w:cs="Calibri"/>
        </w:rPr>
        <w:t xml:space="preserve"> </w:t>
      </w:r>
    </w:p>
    <w:p w14:paraId="07B7D4F9" w14:textId="68336697" w:rsidR="003570C0" w:rsidRPr="003570C0" w:rsidRDefault="003570C0">
      <w:pPr>
        <w:pStyle w:val="ListParagraph"/>
        <w:numPr>
          <w:ilvl w:val="3"/>
          <w:numId w:val="88"/>
        </w:numPr>
        <w:rPr>
          <w:rFonts w:ascii="Calibri" w:hAnsi="Calibri" w:cs="Calibri"/>
          <w:color w:val="000000" w:themeColor="text1"/>
        </w:rPr>
      </w:pPr>
      <w:r w:rsidRPr="000350B2">
        <w:rPr>
          <w:rFonts w:ascii="Calibri" w:hAnsi="Calibri" w:cs="Calibri"/>
        </w:rPr>
        <w:t>substance abuse treatment services;</w:t>
      </w:r>
    </w:p>
    <w:p w14:paraId="16F3A1CC" w14:textId="198C9BEA" w:rsidR="003570C0" w:rsidRPr="003570C0" w:rsidRDefault="003570C0">
      <w:pPr>
        <w:pStyle w:val="ListParagraph"/>
        <w:numPr>
          <w:ilvl w:val="3"/>
          <w:numId w:val="88"/>
        </w:numPr>
        <w:rPr>
          <w:rFonts w:ascii="Calibri" w:hAnsi="Calibri" w:cs="Calibri"/>
          <w:color w:val="000000" w:themeColor="text1"/>
        </w:rPr>
      </w:pPr>
      <w:r w:rsidRPr="000350B2">
        <w:rPr>
          <w:rFonts w:ascii="Calibri" w:hAnsi="Calibri" w:cs="Calibri"/>
        </w:rPr>
        <w:t>transportation;</w:t>
      </w:r>
    </w:p>
    <w:p w14:paraId="424619B4" w14:textId="37FA61C9" w:rsidR="003570C0" w:rsidRPr="003570C0" w:rsidRDefault="003570C0">
      <w:pPr>
        <w:pStyle w:val="ListParagraph"/>
        <w:numPr>
          <w:ilvl w:val="3"/>
          <w:numId w:val="88"/>
        </w:numPr>
        <w:rPr>
          <w:rFonts w:ascii="Calibri" w:hAnsi="Calibri" w:cs="Calibri"/>
          <w:color w:val="000000" w:themeColor="text1"/>
        </w:rPr>
      </w:pPr>
      <w:r w:rsidRPr="000350B2">
        <w:rPr>
          <w:rFonts w:ascii="Calibri" w:hAnsi="Calibri" w:cs="Calibri"/>
        </w:rPr>
        <w:t>and services for special populations.</w:t>
      </w:r>
    </w:p>
    <w:p w14:paraId="1B863556" w14:textId="58C81534" w:rsidR="003570C0" w:rsidRPr="003570C0" w:rsidRDefault="003570C0">
      <w:pPr>
        <w:pStyle w:val="ListParagraph"/>
        <w:numPr>
          <w:ilvl w:val="2"/>
          <w:numId w:val="88"/>
        </w:numPr>
        <w:rPr>
          <w:rFonts w:ascii="Calibri" w:hAnsi="Calibri" w:cs="Calibri"/>
          <w:color w:val="000000" w:themeColor="text1"/>
        </w:rPr>
      </w:pPr>
      <w:r w:rsidRPr="000350B2">
        <w:rPr>
          <w:rFonts w:ascii="Calibri" w:hAnsi="Calibri" w:cs="Calibri"/>
        </w:rPr>
        <w:t>Individuals who are literally homeless</w:t>
      </w:r>
      <w:r w:rsidRPr="000800C5">
        <w:rPr>
          <w:rFonts w:ascii="Calibri" w:hAnsi="Calibri" w:cs="Calibri"/>
        </w:rPr>
        <w:t>.</w:t>
      </w:r>
    </w:p>
    <w:p w14:paraId="0EE24A87" w14:textId="3099169C" w:rsidR="003570C0" w:rsidRPr="003570C0" w:rsidRDefault="003570C0">
      <w:pPr>
        <w:pStyle w:val="ListParagraph"/>
        <w:numPr>
          <w:ilvl w:val="3"/>
          <w:numId w:val="88"/>
        </w:numPr>
        <w:rPr>
          <w:rFonts w:ascii="Calibri" w:hAnsi="Calibri" w:cs="Calibri"/>
          <w:color w:val="000000" w:themeColor="text1"/>
        </w:rPr>
      </w:pPr>
      <w:r w:rsidRPr="000800C5">
        <w:rPr>
          <w:rFonts w:ascii="Calibri" w:hAnsi="Calibri" w:cs="Calibri"/>
        </w:rPr>
        <w:t>When appropriate, based on the individual’s needs and wishes, a referral to Rapid Rehousing services shall be made quickly to assist individuals in obtaining safe and appropriate housing.</w:t>
      </w:r>
    </w:p>
    <w:p w14:paraId="7C053EEA" w14:textId="23E47240" w:rsidR="003570C0" w:rsidRPr="00A76818" w:rsidRDefault="003570C0">
      <w:pPr>
        <w:pStyle w:val="ListParagraph"/>
        <w:numPr>
          <w:ilvl w:val="3"/>
          <w:numId w:val="88"/>
        </w:numPr>
        <w:rPr>
          <w:rFonts w:ascii="Calibri" w:hAnsi="Calibri" w:cs="Calibri"/>
          <w:color w:val="000000" w:themeColor="text1"/>
        </w:rPr>
      </w:pPr>
      <w:r w:rsidRPr="000800C5">
        <w:rPr>
          <w:rFonts w:ascii="Calibri" w:hAnsi="Calibri" w:cs="Calibri"/>
        </w:rPr>
        <w:t>Referrals to Transitional Housing shall be made for transitional aged youth, individuals fleeing domestic violence, individuals re-entering from institutions, individuals recovering from substance abuse, or other individuals with transitional housing needs.</w:t>
      </w:r>
    </w:p>
    <w:p w14:paraId="7F77D19C" w14:textId="77777777" w:rsidR="003570C0" w:rsidRPr="00A76818" w:rsidRDefault="003570C0" w:rsidP="003570C0">
      <w:pPr>
        <w:contextualSpacing/>
        <w:rPr>
          <w:rFonts w:ascii="Calibri" w:hAnsi="Calibri" w:cs="Calibri"/>
          <w:color w:val="000000" w:themeColor="text1"/>
        </w:rPr>
      </w:pPr>
    </w:p>
    <w:p w14:paraId="0527E95F" w14:textId="6730A3AC" w:rsidR="0074753C" w:rsidRDefault="0074753C" w:rsidP="0074753C"/>
    <w:p w14:paraId="5003E63C" w14:textId="40A46317" w:rsidR="0074753C" w:rsidRDefault="0074753C" w:rsidP="0074753C"/>
    <w:p w14:paraId="7D7A3448" w14:textId="5434A092" w:rsidR="0074753C" w:rsidRDefault="0074753C" w:rsidP="0074753C"/>
    <w:p w14:paraId="014AD2C4" w14:textId="0812282B" w:rsidR="0074753C" w:rsidRDefault="0074753C" w:rsidP="0074753C"/>
    <w:p w14:paraId="72CEDBA4" w14:textId="0DFFB94D" w:rsidR="00B14198" w:rsidRPr="0058586C" w:rsidRDefault="0074753C" w:rsidP="0074753C">
      <w:pPr>
        <w:pStyle w:val="Heading1"/>
        <w:rPr>
          <w:b/>
          <w:bCs/>
          <w:color w:val="0070C0"/>
        </w:rPr>
      </w:pPr>
      <w:bookmarkStart w:id="141" w:name="_Toc124255049"/>
      <w:bookmarkStart w:id="142" w:name="_Hlk107589384"/>
      <w:r w:rsidRPr="0058586C">
        <w:rPr>
          <w:b/>
          <w:bCs/>
          <w:color w:val="0070C0"/>
        </w:rPr>
        <w:lastRenderedPageBreak/>
        <w:t>Standards for Rapid Re-Housing</w:t>
      </w:r>
      <w:bookmarkEnd w:id="141"/>
      <w:r w:rsidRPr="0058586C">
        <w:rPr>
          <w:b/>
          <w:bCs/>
          <w:color w:val="0070C0"/>
        </w:rPr>
        <w:t xml:space="preserve"> </w:t>
      </w:r>
    </w:p>
    <w:p w14:paraId="49EB6BE7" w14:textId="77777777" w:rsidR="005A0E11" w:rsidRPr="00A76818" w:rsidRDefault="005A0E11">
      <w:pPr>
        <w:pStyle w:val="Heading2"/>
        <w:numPr>
          <w:ilvl w:val="0"/>
          <w:numId w:val="51"/>
        </w:numPr>
        <w:spacing w:before="0" w:line="240" w:lineRule="auto"/>
        <w:contextualSpacing/>
        <w:rPr>
          <w:color w:val="000000" w:themeColor="text1"/>
        </w:rPr>
      </w:pPr>
      <w:bookmarkStart w:id="143" w:name="_Toc124255050"/>
      <w:r w:rsidRPr="0058586C">
        <w:rPr>
          <w:color w:val="0070C0"/>
        </w:rPr>
        <w:t>Introduction</w:t>
      </w:r>
      <w:bookmarkEnd w:id="143"/>
      <w:r w:rsidRPr="00A76818">
        <w:rPr>
          <w:color w:val="000000" w:themeColor="text1"/>
        </w:rPr>
        <w:t xml:space="preserve"> </w:t>
      </w:r>
    </w:p>
    <w:p w14:paraId="1455E839" w14:textId="77777777" w:rsidR="005A0E11" w:rsidRDefault="005A0E11">
      <w:pPr>
        <w:pStyle w:val="ListParagraph"/>
        <w:numPr>
          <w:ilvl w:val="0"/>
          <w:numId w:val="52"/>
        </w:numPr>
        <w:rPr>
          <w:rFonts w:ascii="Calibri" w:hAnsi="Calibri"/>
          <w:color w:val="000000" w:themeColor="text1"/>
        </w:rPr>
      </w:pPr>
      <w:r w:rsidRPr="00A76818">
        <w:rPr>
          <w:rFonts w:ascii="Calibri" w:hAnsi="Calibri"/>
          <w:color w:val="000000" w:themeColor="text1"/>
          <w:u w:val="single"/>
        </w:rPr>
        <w:t>Rapid re-housing</w:t>
      </w:r>
      <w:r w:rsidRPr="00A76818">
        <w:rPr>
          <w:rFonts w:ascii="Calibri" w:hAnsi="Calibri"/>
          <w:color w:val="000000" w:themeColor="text1"/>
        </w:rPr>
        <w:t xml:space="preserve"> is a type of permanent housing that offers supportive services and/or rental assistance in order to help households move as quickly as possible into stable permanent housing.</w:t>
      </w:r>
      <w:r>
        <w:rPr>
          <w:rFonts w:ascii="Calibri" w:hAnsi="Calibri"/>
          <w:color w:val="000000" w:themeColor="text1"/>
        </w:rPr>
        <w:t xml:space="preserve"> </w:t>
      </w:r>
    </w:p>
    <w:p w14:paraId="7E1CB42E" w14:textId="77777777" w:rsidR="005A0E11" w:rsidRDefault="00B14198">
      <w:pPr>
        <w:pStyle w:val="ListParagraph"/>
        <w:numPr>
          <w:ilvl w:val="2"/>
          <w:numId w:val="52"/>
        </w:numPr>
        <w:rPr>
          <w:rFonts w:ascii="Calibri" w:hAnsi="Calibri"/>
          <w:color w:val="000000" w:themeColor="text1"/>
        </w:rPr>
      </w:pPr>
      <w:r w:rsidRPr="005A0E11">
        <w:rPr>
          <w:rFonts w:ascii="Calibri" w:hAnsi="Calibri"/>
          <w:color w:val="000000" w:themeColor="text1"/>
        </w:rPr>
        <w:t xml:space="preserve">Rapid re-housing can be funded by through CoC or ESG. </w:t>
      </w:r>
    </w:p>
    <w:p w14:paraId="54804D15" w14:textId="77777777" w:rsidR="005A0E11" w:rsidRPr="005A0E11" w:rsidRDefault="00B14198">
      <w:pPr>
        <w:pStyle w:val="ListParagraph"/>
        <w:numPr>
          <w:ilvl w:val="1"/>
          <w:numId w:val="52"/>
        </w:numPr>
        <w:rPr>
          <w:rFonts w:ascii="Calibri" w:hAnsi="Calibri"/>
          <w:color w:val="000000" w:themeColor="text1"/>
        </w:rPr>
      </w:pPr>
      <w:r w:rsidRPr="005A0E11">
        <w:rPr>
          <w:rFonts w:ascii="Calibri" w:hAnsi="Calibri" w:cs="Calibri"/>
          <w:color w:val="000000" w:themeColor="text1"/>
        </w:rPr>
        <w:t>All ESG-RRH</w:t>
      </w:r>
      <w:r w:rsidR="005A0E11" w:rsidRPr="005A0E11">
        <w:rPr>
          <w:rFonts w:ascii="Calibri" w:hAnsi="Calibri" w:cs="Calibri"/>
          <w:color w:val="000000" w:themeColor="text1"/>
        </w:rPr>
        <w:t xml:space="preserve"> </w:t>
      </w:r>
      <w:r w:rsidRPr="005A0E11">
        <w:rPr>
          <w:rFonts w:ascii="Calibri" w:hAnsi="Calibri" w:cs="Calibri"/>
          <w:color w:val="000000" w:themeColor="text1"/>
        </w:rPr>
        <w:t xml:space="preserve">and CoC-RRH assistance is provided without additional preconditions (e.g., employment or sobriety) and with the understanding that permanent housing may cost greater than 30% of household income. </w:t>
      </w:r>
    </w:p>
    <w:p w14:paraId="4BE0F4F1" w14:textId="67B58185" w:rsidR="00B14198" w:rsidRPr="005A0E11" w:rsidRDefault="00B14198">
      <w:pPr>
        <w:pStyle w:val="ListParagraph"/>
        <w:numPr>
          <w:ilvl w:val="1"/>
          <w:numId w:val="52"/>
        </w:numPr>
        <w:rPr>
          <w:rFonts w:ascii="Calibri" w:hAnsi="Calibri"/>
          <w:color w:val="000000" w:themeColor="text1"/>
        </w:rPr>
      </w:pPr>
      <w:r w:rsidRPr="005A0E11">
        <w:rPr>
          <w:rFonts w:ascii="Calibri" w:hAnsi="Calibri" w:cs="Calibri"/>
          <w:color w:val="000000" w:themeColor="text1"/>
        </w:rPr>
        <w:t>For an overview of the different types of RRH/Housing Prevention funding sources, see Appendix K: Rapid Re-Housing/Homeless Prevention Quick Reference Sheets (pg. 57-58).</w:t>
      </w:r>
    </w:p>
    <w:p w14:paraId="52B8F71B" w14:textId="77777777" w:rsidR="005A0E11" w:rsidRPr="00A76818" w:rsidRDefault="005A0E11" w:rsidP="005A0E11">
      <w:pPr>
        <w:contextualSpacing/>
        <w:rPr>
          <w:rFonts w:ascii="Calibri" w:hAnsi="Calibri" w:cs="Calibri"/>
          <w:color w:val="000000" w:themeColor="text1"/>
        </w:rPr>
      </w:pPr>
    </w:p>
    <w:p w14:paraId="1CEC9E41" w14:textId="77777777" w:rsidR="005A0E11" w:rsidRPr="0058586C" w:rsidRDefault="005A0E11">
      <w:pPr>
        <w:pStyle w:val="Heading2"/>
        <w:numPr>
          <w:ilvl w:val="0"/>
          <w:numId w:val="53"/>
        </w:numPr>
        <w:spacing w:before="0" w:line="240" w:lineRule="auto"/>
        <w:contextualSpacing/>
        <w:rPr>
          <w:color w:val="0070C0"/>
        </w:rPr>
      </w:pPr>
      <w:bookmarkStart w:id="144" w:name="_Toc124255051"/>
      <w:r w:rsidRPr="0058586C">
        <w:rPr>
          <w:color w:val="0070C0"/>
        </w:rPr>
        <w:t>Eligibility</w:t>
      </w:r>
      <w:bookmarkEnd w:id="144"/>
    </w:p>
    <w:p w14:paraId="3C7FD61E" w14:textId="4AAE9EEB" w:rsidR="005A0E11" w:rsidRPr="005A0E11" w:rsidRDefault="005A0E11">
      <w:pPr>
        <w:pStyle w:val="ListParagraph"/>
        <w:numPr>
          <w:ilvl w:val="0"/>
          <w:numId w:val="54"/>
        </w:numPr>
        <w:rPr>
          <w:rFonts w:ascii="Calibri" w:hAnsi="Calibri"/>
          <w:color w:val="000000" w:themeColor="text1"/>
        </w:rPr>
      </w:pPr>
      <w:r w:rsidRPr="005A0E11">
        <w:rPr>
          <w:rFonts w:ascii="Calibri" w:hAnsi="Calibri"/>
          <w:color w:val="000000" w:themeColor="text1"/>
        </w:rPr>
        <w:t xml:space="preserve">Eligibility lays out the </w:t>
      </w:r>
      <w:r w:rsidRPr="005A0E11">
        <w:rPr>
          <w:rFonts w:ascii="Calibri" w:hAnsi="Calibri"/>
          <w:color w:val="000000" w:themeColor="text1"/>
          <w:u w:val="single"/>
        </w:rPr>
        <w:t>minimum</w:t>
      </w:r>
      <w:r w:rsidRPr="005A0E11">
        <w:rPr>
          <w:rFonts w:ascii="Calibri" w:hAnsi="Calibri"/>
          <w:color w:val="000000" w:themeColor="text1"/>
        </w:rPr>
        <w:t xml:space="preserve"> local and federal standards required for a household to qualify for each type of assistance at different point in the process. </w:t>
      </w:r>
    </w:p>
    <w:p w14:paraId="28137B09" w14:textId="41D15BC6" w:rsidR="005A0E11" w:rsidRPr="005A0E11" w:rsidRDefault="005A0E11">
      <w:pPr>
        <w:pStyle w:val="ListParagraph"/>
        <w:numPr>
          <w:ilvl w:val="0"/>
          <w:numId w:val="54"/>
        </w:numPr>
        <w:rPr>
          <w:rFonts w:ascii="Calibri" w:hAnsi="Calibri"/>
          <w:color w:val="000000" w:themeColor="text1"/>
        </w:rPr>
      </w:pPr>
      <w:r w:rsidRPr="005A0E11">
        <w:rPr>
          <w:rFonts w:ascii="Calibri" w:hAnsi="Calibri"/>
          <w:color w:val="000000" w:themeColor="text1"/>
        </w:rPr>
        <w:t>Eligible households are provided access to re-housing assistance without preconditions, such as sobriety or a minimum income level.</w:t>
      </w:r>
    </w:p>
    <w:p w14:paraId="17BA9DEA" w14:textId="5F444217" w:rsidR="005A0E11" w:rsidRPr="005A0E11" w:rsidRDefault="005A0E11">
      <w:pPr>
        <w:pStyle w:val="ListParagraph"/>
        <w:numPr>
          <w:ilvl w:val="0"/>
          <w:numId w:val="54"/>
        </w:numPr>
        <w:rPr>
          <w:rFonts w:ascii="Calibri" w:hAnsi="Calibri"/>
          <w:color w:val="000000" w:themeColor="text1"/>
        </w:rPr>
      </w:pPr>
      <w:r w:rsidRPr="005A0E11">
        <w:rPr>
          <w:rFonts w:ascii="Calibri" w:hAnsi="Calibri"/>
          <w:color w:val="000000" w:themeColor="text1"/>
        </w:rPr>
        <w:t>Intake</w:t>
      </w:r>
    </w:p>
    <w:p w14:paraId="58A84C43" w14:textId="4F56E103" w:rsidR="005A0E11" w:rsidRDefault="005A0E11">
      <w:pPr>
        <w:pStyle w:val="ListParagraph"/>
        <w:numPr>
          <w:ilvl w:val="2"/>
          <w:numId w:val="54"/>
        </w:numPr>
        <w:rPr>
          <w:rFonts w:ascii="Calibri" w:hAnsi="Calibri"/>
          <w:color w:val="000000" w:themeColor="text1"/>
        </w:rPr>
      </w:pPr>
      <w:r w:rsidRPr="005A0E11">
        <w:rPr>
          <w:rFonts w:ascii="Calibri" w:hAnsi="Calibri"/>
          <w:color w:val="000000" w:themeColor="text1"/>
        </w:rPr>
        <w:t>To receive ESG rapid re-housing (ESG-RRH) assistance, an individual or family must be literally homeless.</w:t>
      </w:r>
    </w:p>
    <w:p w14:paraId="530303B5" w14:textId="3118437B" w:rsidR="005A0E11" w:rsidRPr="00856EE5" w:rsidRDefault="005A0E11">
      <w:pPr>
        <w:pStyle w:val="ListParagraph"/>
        <w:numPr>
          <w:ilvl w:val="3"/>
          <w:numId w:val="54"/>
        </w:numPr>
        <w:rPr>
          <w:rFonts w:ascii="Calibri" w:hAnsi="Calibri"/>
          <w:color w:val="000000" w:themeColor="text1"/>
        </w:rPr>
      </w:pPr>
      <w:r w:rsidRPr="00856EE5">
        <w:rPr>
          <w:rFonts w:ascii="Calibri" w:hAnsi="Calibri"/>
          <w:color w:val="000000" w:themeColor="text1"/>
        </w:rPr>
        <w:t>ESG-RRH assistance is also available to people fleeing or attempting to flee domestic violence if they are also literally homeless (24 CFR part 576.104).</w:t>
      </w:r>
    </w:p>
    <w:p w14:paraId="0AE19077" w14:textId="74343FB8" w:rsidR="005A0E11" w:rsidRPr="00856EE5" w:rsidRDefault="005A0E11">
      <w:pPr>
        <w:pStyle w:val="ListParagraph"/>
        <w:numPr>
          <w:ilvl w:val="2"/>
          <w:numId w:val="54"/>
        </w:numPr>
        <w:rPr>
          <w:rFonts w:ascii="Calibri" w:hAnsi="Calibri"/>
          <w:color w:val="000000" w:themeColor="text1"/>
        </w:rPr>
      </w:pPr>
      <w:r w:rsidRPr="00856EE5">
        <w:rPr>
          <w:rFonts w:ascii="Calibri" w:hAnsi="Calibri"/>
          <w:color w:val="000000" w:themeColor="text1"/>
        </w:rPr>
        <w:t>ESG-RRH does not require an income assessment at intake.</w:t>
      </w:r>
    </w:p>
    <w:p w14:paraId="137D7932" w14:textId="33D24CE4" w:rsidR="005A0E11" w:rsidRPr="00856EE5" w:rsidRDefault="005A0E11">
      <w:pPr>
        <w:pStyle w:val="ListParagraph"/>
        <w:numPr>
          <w:ilvl w:val="2"/>
          <w:numId w:val="54"/>
        </w:numPr>
        <w:rPr>
          <w:rFonts w:ascii="Calibri" w:hAnsi="Calibri"/>
          <w:color w:val="000000" w:themeColor="text1"/>
        </w:rPr>
      </w:pPr>
      <w:r w:rsidRPr="00856EE5">
        <w:rPr>
          <w:rFonts w:ascii="Calibri" w:hAnsi="Calibri"/>
          <w:color w:val="000000" w:themeColor="text1"/>
        </w:rPr>
        <w:t>To receive CoC rapid re-housing (CoC-RRH) assistance, individuals and families must be literally homeless, at imminent risk of homelessness, homeless under other federal statues, or fleeing/attempting to flee domestic violence.</w:t>
      </w:r>
    </w:p>
    <w:p w14:paraId="3EAB55E6" w14:textId="77777777" w:rsidR="005A0E11" w:rsidRPr="00856EE5" w:rsidRDefault="005A0E11">
      <w:pPr>
        <w:pStyle w:val="ListParagraph"/>
        <w:numPr>
          <w:ilvl w:val="3"/>
          <w:numId w:val="54"/>
        </w:numPr>
        <w:rPr>
          <w:rFonts w:ascii="Calibri" w:hAnsi="Calibri"/>
          <w:color w:val="000000" w:themeColor="text1"/>
        </w:rPr>
      </w:pPr>
      <w:r w:rsidRPr="00856EE5">
        <w:rPr>
          <w:rFonts w:ascii="Calibri" w:hAnsi="Calibri"/>
          <w:color w:val="000000" w:themeColor="text1"/>
        </w:rPr>
        <w:t>CoC-RRH does not require an income assessment at intake.</w:t>
      </w:r>
    </w:p>
    <w:p w14:paraId="016EAFD1" w14:textId="77777777" w:rsidR="005A0E11" w:rsidRPr="005A0E11" w:rsidRDefault="00A81B74">
      <w:pPr>
        <w:pStyle w:val="ListParagraph"/>
        <w:numPr>
          <w:ilvl w:val="0"/>
          <w:numId w:val="54"/>
        </w:numPr>
        <w:rPr>
          <w:rFonts w:ascii="Calibri" w:hAnsi="Calibri"/>
          <w:color w:val="000000" w:themeColor="text1"/>
        </w:rPr>
      </w:pPr>
      <w:r w:rsidRPr="005A0E11">
        <w:rPr>
          <w:rFonts w:ascii="Calibri" w:hAnsi="Calibri" w:cs="Calibri"/>
          <w:color w:val="000000" w:themeColor="text1"/>
        </w:rPr>
        <w:t>Re-Evaluation</w:t>
      </w:r>
    </w:p>
    <w:p w14:paraId="62419AD7" w14:textId="77777777" w:rsidR="005A0E11" w:rsidRPr="005A0E11" w:rsidRDefault="00A81B74">
      <w:pPr>
        <w:pStyle w:val="ListParagraph"/>
        <w:numPr>
          <w:ilvl w:val="2"/>
          <w:numId w:val="54"/>
        </w:numPr>
        <w:rPr>
          <w:rFonts w:ascii="Calibri" w:hAnsi="Calibri"/>
          <w:color w:val="000000" w:themeColor="text1"/>
        </w:rPr>
      </w:pPr>
      <w:r w:rsidRPr="005A0E11">
        <w:rPr>
          <w:rFonts w:ascii="Calibri" w:hAnsi="Calibri" w:cs="Calibri"/>
          <w:color w:val="000000" w:themeColor="text1"/>
        </w:rPr>
        <w:t xml:space="preserve">To qualify for continuation of assistance, an ESG-RRH household must have an annual income at or below 30% AMI at the time of re-evaluation. </w:t>
      </w:r>
    </w:p>
    <w:p w14:paraId="7221CD97" w14:textId="77777777" w:rsidR="005A0E11" w:rsidRPr="005A0E11" w:rsidRDefault="00A81B74">
      <w:pPr>
        <w:pStyle w:val="ListParagraph"/>
        <w:numPr>
          <w:ilvl w:val="3"/>
          <w:numId w:val="54"/>
        </w:numPr>
        <w:rPr>
          <w:rFonts w:ascii="Calibri" w:hAnsi="Calibri"/>
          <w:color w:val="000000" w:themeColor="text1"/>
        </w:rPr>
      </w:pPr>
      <w:r w:rsidRPr="005A0E11">
        <w:rPr>
          <w:rFonts w:ascii="Calibri" w:hAnsi="Calibri" w:cs="Calibri"/>
          <w:color w:val="000000" w:themeColor="text1"/>
        </w:rPr>
        <w:t xml:space="preserve">Local: Re-evaluation must take place no less than once every 3 months. </w:t>
      </w:r>
    </w:p>
    <w:p w14:paraId="445064E3" w14:textId="77777777" w:rsidR="005A0E11" w:rsidRPr="005A0E11" w:rsidRDefault="00A81B74">
      <w:pPr>
        <w:pStyle w:val="ListParagraph"/>
        <w:numPr>
          <w:ilvl w:val="2"/>
          <w:numId w:val="54"/>
        </w:numPr>
        <w:rPr>
          <w:rFonts w:ascii="Calibri" w:hAnsi="Calibri"/>
          <w:color w:val="000000" w:themeColor="text1"/>
        </w:rPr>
      </w:pPr>
      <w:r w:rsidRPr="005A0E11">
        <w:rPr>
          <w:rFonts w:ascii="Calibri" w:hAnsi="Calibri" w:cs="Calibri"/>
          <w:color w:val="000000" w:themeColor="text1"/>
        </w:rPr>
        <w:t>Local: To qualify for continuation of assistance, a CoC-RRH household must have an annual income at or below 80% AMI at the time of re-evaluation.</w:t>
      </w:r>
    </w:p>
    <w:p w14:paraId="568874CC" w14:textId="77777777" w:rsidR="005A0E11" w:rsidRPr="005A0E11" w:rsidRDefault="00A81B74">
      <w:pPr>
        <w:pStyle w:val="ListParagraph"/>
        <w:numPr>
          <w:ilvl w:val="3"/>
          <w:numId w:val="54"/>
        </w:numPr>
        <w:rPr>
          <w:rFonts w:ascii="Calibri" w:hAnsi="Calibri"/>
          <w:color w:val="000000" w:themeColor="text1"/>
        </w:rPr>
      </w:pPr>
      <w:r w:rsidRPr="005A0E11">
        <w:rPr>
          <w:rFonts w:ascii="Calibri" w:hAnsi="Calibri" w:cs="Calibri"/>
          <w:color w:val="000000" w:themeColor="text1"/>
        </w:rPr>
        <w:t xml:space="preserve">Local: Re-evaluation must take place no less than once every 3 months. </w:t>
      </w:r>
    </w:p>
    <w:p w14:paraId="4CB079FF" w14:textId="46E9A8C9" w:rsidR="00A81B74" w:rsidRPr="00DF0C3C" w:rsidRDefault="00A81B74">
      <w:pPr>
        <w:pStyle w:val="ListParagraph"/>
        <w:numPr>
          <w:ilvl w:val="0"/>
          <w:numId w:val="54"/>
        </w:numPr>
        <w:rPr>
          <w:rFonts w:ascii="Calibri" w:hAnsi="Calibri"/>
          <w:color w:val="000000" w:themeColor="text1"/>
        </w:rPr>
      </w:pPr>
      <w:r w:rsidRPr="005A0E11">
        <w:rPr>
          <w:rFonts w:ascii="Calibri" w:hAnsi="Calibri" w:cs="Calibri"/>
          <w:color w:val="000000" w:themeColor="text1"/>
        </w:rPr>
        <w:lastRenderedPageBreak/>
        <w:t xml:space="preserve">See Appendix E: HUD Definitions of Homelessness (pg. 46) for more information about homelessness definitions. </w:t>
      </w:r>
      <w:r w:rsidRPr="00DF0C3C">
        <w:rPr>
          <w:rFonts w:ascii="Calibri" w:hAnsi="Calibri" w:cs="Calibri"/>
          <w:color w:val="000000" w:themeColor="text1"/>
        </w:rPr>
        <w:t xml:space="preserve">Please see Appendix F: HUD Record Keeping Requirement (pg. 47) for more information on how to properly document eligibility for rapid re-housing and homelessness prevention assistance. </w:t>
      </w:r>
    </w:p>
    <w:p w14:paraId="0E5414C9" w14:textId="77777777" w:rsidR="00DF0C3C" w:rsidRPr="00A76818" w:rsidRDefault="00DF0C3C" w:rsidP="00DF0C3C">
      <w:pPr>
        <w:contextualSpacing/>
        <w:rPr>
          <w:rFonts w:ascii="Calibri" w:hAnsi="Calibri" w:cs="Calibri"/>
          <w:color w:val="000000" w:themeColor="text1"/>
        </w:rPr>
      </w:pPr>
    </w:p>
    <w:p w14:paraId="4AAE1E83" w14:textId="77777777" w:rsidR="00DF0C3C" w:rsidRPr="0058586C" w:rsidRDefault="00DF0C3C">
      <w:pPr>
        <w:pStyle w:val="Heading2"/>
        <w:numPr>
          <w:ilvl w:val="0"/>
          <w:numId w:val="55"/>
        </w:numPr>
        <w:tabs>
          <w:tab w:val="left" w:pos="360"/>
          <w:tab w:val="left" w:pos="1440"/>
        </w:tabs>
        <w:spacing w:before="0" w:line="240" w:lineRule="auto"/>
        <w:ind w:left="720"/>
        <w:contextualSpacing/>
        <w:rPr>
          <w:color w:val="0070C0"/>
        </w:rPr>
      </w:pPr>
      <w:bookmarkStart w:id="145" w:name="_Toc124255052"/>
      <w:r w:rsidRPr="0058586C">
        <w:rPr>
          <w:color w:val="0070C0"/>
        </w:rPr>
        <w:t>Prioritization</w:t>
      </w:r>
      <w:bookmarkEnd w:id="145"/>
    </w:p>
    <w:p w14:paraId="14D569F9" w14:textId="6C8C76DB" w:rsidR="00DF0C3C" w:rsidRPr="00DF0C3C" w:rsidRDefault="00DF0C3C">
      <w:pPr>
        <w:pStyle w:val="ListParagraph"/>
        <w:numPr>
          <w:ilvl w:val="0"/>
          <w:numId w:val="56"/>
        </w:numPr>
        <w:rPr>
          <w:rFonts w:ascii="Calibri" w:hAnsi="Calibri" w:cs="Calibri"/>
          <w:color w:val="000000" w:themeColor="text1"/>
        </w:rPr>
      </w:pPr>
      <w:r w:rsidRPr="00DF0C3C">
        <w:rPr>
          <w:rFonts w:ascii="Calibri" w:hAnsi="Calibri" w:cs="Calibri"/>
          <w:color w:val="000000" w:themeColor="text1"/>
        </w:rPr>
        <w:t xml:space="preserve">All service providers will use the coordinated entry process to prioritize homeless households within the CSCoC geographic service area for access to homeless prevention and rapid re-housing assistance. </w:t>
      </w:r>
    </w:p>
    <w:p w14:paraId="0B78CBDF" w14:textId="77777777" w:rsidR="00DF0C3C" w:rsidRPr="00DF0C3C" w:rsidRDefault="00DF0C3C">
      <w:pPr>
        <w:pStyle w:val="ListParagraph"/>
        <w:numPr>
          <w:ilvl w:val="0"/>
          <w:numId w:val="56"/>
        </w:numPr>
        <w:rPr>
          <w:rFonts w:ascii="Calibri" w:hAnsi="Calibri" w:cs="Calibri"/>
          <w:color w:val="000000" w:themeColor="text1"/>
        </w:rPr>
      </w:pPr>
      <w:r w:rsidRPr="00DF0C3C">
        <w:rPr>
          <w:rFonts w:ascii="Calibri" w:hAnsi="Calibri" w:cs="Calibri"/>
          <w:color w:val="000000" w:themeColor="text1"/>
        </w:rPr>
        <w:t xml:space="preserve">In addition to the vulnerability scores determined through the modified VI-SPDAT, additional priority will be awarded using the following elements: </w:t>
      </w:r>
    </w:p>
    <w:p w14:paraId="5C33D9A6" w14:textId="77777777" w:rsidR="00DF0C3C" w:rsidRPr="00DF0C3C" w:rsidRDefault="00DF0C3C">
      <w:pPr>
        <w:pStyle w:val="ListParagraph"/>
        <w:numPr>
          <w:ilvl w:val="2"/>
          <w:numId w:val="56"/>
        </w:numPr>
        <w:rPr>
          <w:rFonts w:ascii="Calibri" w:hAnsi="Calibri" w:cs="Calibri"/>
          <w:color w:val="000000" w:themeColor="text1"/>
        </w:rPr>
      </w:pPr>
      <w:r w:rsidRPr="00DF0C3C">
        <w:rPr>
          <w:rFonts w:ascii="Calibri" w:hAnsi="Calibri"/>
          <w:color w:val="000000" w:themeColor="text1"/>
        </w:rPr>
        <w:t xml:space="preserve">Prioritization decisions for ESG- and CoC-RRH are based on the following table, subject to funding and unit availability for specific subpopulations. </w:t>
      </w:r>
    </w:p>
    <w:p w14:paraId="5A4F3BE3" w14:textId="1A12BEF1" w:rsidR="00DF0C3C" w:rsidRPr="00DF0C3C" w:rsidRDefault="00DF0C3C">
      <w:pPr>
        <w:pStyle w:val="ListParagraph"/>
        <w:numPr>
          <w:ilvl w:val="2"/>
          <w:numId w:val="56"/>
        </w:numPr>
        <w:rPr>
          <w:rFonts w:ascii="Calibri" w:hAnsi="Calibri" w:cs="Calibri"/>
          <w:color w:val="000000" w:themeColor="text1"/>
        </w:rPr>
      </w:pPr>
      <w:r w:rsidRPr="00DF0C3C">
        <w:rPr>
          <w:rFonts w:ascii="Calibri" w:hAnsi="Calibri"/>
          <w:color w:val="000000" w:themeColor="text1"/>
        </w:rPr>
        <w:t>The following chart is to be used as a guide for prioritization; however, final prioritization will include results from the weekly CES call.</w:t>
      </w:r>
    </w:p>
    <w:tbl>
      <w:tblPr>
        <w:tblStyle w:val="GridTable4-Accent1"/>
        <w:tblpPr w:leftFromText="180" w:rightFromText="180" w:vertAnchor="text" w:horzAnchor="margin" w:tblpXSpec="center" w:tblpY="169"/>
        <w:tblW w:w="11785" w:type="dxa"/>
        <w:tblLook w:val="04A0" w:firstRow="1" w:lastRow="0" w:firstColumn="1" w:lastColumn="0" w:noHBand="0" w:noVBand="1"/>
      </w:tblPr>
      <w:tblGrid>
        <w:gridCol w:w="4086"/>
        <w:gridCol w:w="7699"/>
      </w:tblGrid>
      <w:tr w:rsidR="00DF0C3C" w:rsidRPr="00A76818" w14:paraId="0F38C815" w14:textId="77777777" w:rsidTr="00F769D9">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785" w:type="dxa"/>
            <w:gridSpan w:val="2"/>
          </w:tcPr>
          <w:p w14:paraId="3FB7F4D8" w14:textId="77777777" w:rsidR="00DF0C3C" w:rsidRPr="00A76818" w:rsidRDefault="00DF0C3C" w:rsidP="00DF0C3C">
            <w:pPr>
              <w:contextualSpacing/>
              <w:rPr>
                <w:rFonts w:ascii="Calibri" w:hAnsi="Calibri" w:cs="Calibri"/>
                <w:b w:val="0"/>
                <w:bCs w:val="0"/>
                <w:color w:val="000000" w:themeColor="text1"/>
              </w:rPr>
            </w:pPr>
            <w:r w:rsidRPr="00A76818">
              <w:rPr>
                <w:rFonts w:ascii="Calibri" w:hAnsi="Calibri" w:cs="Calibri"/>
                <w:b w:val="0"/>
                <w:bCs w:val="0"/>
                <w:color w:val="000000" w:themeColor="text1"/>
              </w:rPr>
              <w:t>Prioritization for Rapid Re-Housing Assistance</w:t>
            </w:r>
          </w:p>
        </w:tc>
      </w:tr>
      <w:tr w:rsidR="00DF0C3C" w:rsidRPr="00A76818" w14:paraId="5D07AA65" w14:textId="77777777" w:rsidTr="00F769D9">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086" w:type="dxa"/>
          </w:tcPr>
          <w:p w14:paraId="1060774B" w14:textId="77777777" w:rsidR="00DF0C3C" w:rsidRPr="00A76818" w:rsidRDefault="00DF0C3C" w:rsidP="00DF0C3C">
            <w:pPr>
              <w:contextualSpacing/>
              <w:rPr>
                <w:rFonts w:ascii="Calibri" w:hAnsi="Calibri" w:cs="Calibri"/>
                <w:b w:val="0"/>
                <w:bCs w:val="0"/>
                <w:color w:val="000000" w:themeColor="text1"/>
              </w:rPr>
            </w:pPr>
            <w:r w:rsidRPr="00A76818">
              <w:rPr>
                <w:rFonts w:ascii="Calibri" w:hAnsi="Calibri" w:cs="Calibri"/>
                <w:b w:val="0"/>
                <w:bCs w:val="0"/>
                <w:color w:val="000000" w:themeColor="text1"/>
              </w:rPr>
              <w:t>Priority Level</w:t>
            </w:r>
          </w:p>
        </w:tc>
        <w:tc>
          <w:tcPr>
            <w:tcW w:w="7699" w:type="dxa"/>
          </w:tcPr>
          <w:p w14:paraId="5FCD2B6C" w14:textId="77777777" w:rsidR="00DF0C3C" w:rsidRPr="00A76818"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Defining Factors</w:t>
            </w:r>
          </w:p>
        </w:tc>
      </w:tr>
      <w:tr w:rsidR="00DF0C3C" w:rsidRPr="00A76818" w14:paraId="498E3FA6" w14:textId="77777777" w:rsidTr="00F769D9">
        <w:trPr>
          <w:trHeight w:val="234"/>
        </w:trPr>
        <w:tc>
          <w:tcPr>
            <w:cnfStyle w:val="001000000000" w:firstRow="0" w:lastRow="0" w:firstColumn="1" w:lastColumn="0" w:oddVBand="0" w:evenVBand="0" w:oddHBand="0" w:evenHBand="0" w:firstRowFirstColumn="0" w:firstRowLastColumn="0" w:lastRowFirstColumn="0" w:lastRowLastColumn="0"/>
            <w:tcW w:w="4086" w:type="dxa"/>
            <w:vMerge w:val="restart"/>
          </w:tcPr>
          <w:p w14:paraId="0A20CE92" w14:textId="77777777" w:rsidR="00DF0C3C" w:rsidRPr="00A76818" w:rsidRDefault="00DF0C3C" w:rsidP="00DF0C3C">
            <w:pPr>
              <w:contextualSpacing/>
              <w:rPr>
                <w:rFonts w:ascii="Calibri" w:hAnsi="Calibri" w:cs="Calibri"/>
                <w:b w:val="0"/>
                <w:bCs w:val="0"/>
                <w:color w:val="000000" w:themeColor="text1"/>
              </w:rPr>
            </w:pPr>
            <w:r w:rsidRPr="00A76818">
              <w:rPr>
                <w:rFonts w:ascii="Calibri" w:hAnsi="Calibri" w:cs="Calibri"/>
                <w:b w:val="0"/>
                <w:bCs w:val="0"/>
                <w:color w:val="000000" w:themeColor="text1"/>
              </w:rPr>
              <w:t>Priority 1</w:t>
            </w:r>
          </w:p>
          <w:p w14:paraId="27A15D67" w14:textId="77777777" w:rsidR="00DF0C3C" w:rsidRPr="00A76818" w:rsidRDefault="00DF0C3C" w:rsidP="00DF0C3C">
            <w:pPr>
              <w:contextualSpacing/>
              <w:rPr>
                <w:rFonts w:ascii="Calibri" w:hAnsi="Calibri"/>
                <w:b w:val="0"/>
                <w:bCs w:val="0"/>
                <w:color w:val="000000" w:themeColor="text1"/>
              </w:rPr>
            </w:pPr>
          </w:p>
        </w:tc>
        <w:tc>
          <w:tcPr>
            <w:tcW w:w="7699" w:type="dxa"/>
          </w:tcPr>
          <w:p w14:paraId="74891241" w14:textId="77777777" w:rsidR="00DF0C3C" w:rsidRPr="00A76818"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VI-SPDAT Score: 4-7 </w:t>
            </w:r>
          </w:p>
        </w:tc>
      </w:tr>
      <w:tr w:rsidR="00DF0C3C" w:rsidRPr="00A76818" w14:paraId="60619883" w14:textId="77777777" w:rsidTr="00F769D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086" w:type="dxa"/>
            <w:vMerge/>
          </w:tcPr>
          <w:p w14:paraId="712C9CD7" w14:textId="77777777" w:rsidR="00DF0C3C" w:rsidRPr="00A76818" w:rsidRDefault="00DF0C3C" w:rsidP="00DF0C3C">
            <w:pPr>
              <w:contextualSpacing/>
              <w:rPr>
                <w:rFonts w:ascii="Calibri" w:hAnsi="Calibri"/>
                <w:b w:val="0"/>
                <w:bCs w:val="0"/>
                <w:color w:val="000000" w:themeColor="text1"/>
              </w:rPr>
            </w:pPr>
          </w:p>
        </w:tc>
        <w:tc>
          <w:tcPr>
            <w:tcW w:w="7699" w:type="dxa"/>
          </w:tcPr>
          <w:p w14:paraId="5789E6A1" w14:textId="77777777" w:rsidR="00DF0C3C" w:rsidRPr="00A76818"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Chronic Homelessness </w:t>
            </w:r>
          </w:p>
        </w:tc>
      </w:tr>
      <w:tr w:rsidR="00DF0C3C" w:rsidRPr="00A76818" w14:paraId="3A041EFB" w14:textId="77777777" w:rsidTr="00F769D9">
        <w:trPr>
          <w:trHeight w:val="220"/>
        </w:trPr>
        <w:tc>
          <w:tcPr>
            <w:cnfStyle w:val="001000000000" w:firstRow="0" w:lastRow="0" w:firstColumn="1" w:lastColumn="0" w:oddVBand="0" w:evenVBand="0" w:oddHBand="0" w:evenHBand="0" w:firstRowFirstColumn="0" w:firstRowLastColumn="0" w:lastRowFirstColumn="0" w:lastRowLastColumn="0"/>
            <w:tcW w:w="4086" w:type="dxa"/>
            <w:vMerge w:val="restart"/>
          </w:tcPr>
          <w:p w14:paraId="1B24B441" w14:textId="77777777" w:rsidR="00DF0C3C" w:rsidRPr="00A76818" w:rsidRDefault="00DF0C3C" w:rsidP="00DF0C3C">
            <w:pPr>
              <w:contextualSpacing/>
              <w:rPr>
                <w:rFonts w:ascii="Calibri" w:hAnsi="Calibri" w:cs="Calibri"/>
                <w:b w:val="0"/>
                <w:bCs w:val="0"/>
                <w:color w:val="000000" w:themeColor="text1"/>
              </w:rPr>
            </w:pPr>
            <w:r w:rsidRPr="00A76818">
              <w:rPr>
                <w:rFonts w:ascii="Calibri" w:hAnsi="Calibri" w:cs="Calibri"/>
                <w:b w:val="0"/>
                <w:bCs w:val="0"/>
                <w:color w:val="000000" w:themeColor="text1"/>
              </w:rPr>
              <w:t>Priority 2</w:t>
            </w:r>
          </w:p>
          <w:p w14:paraId="690DF7AD" w14:textId="77777777" w:rsidR="00DF0C3C" w:rsidRDefault="00DF0C3C" w:rsidP="00DF0C3C">
            <w:pPr>
              <w:contextualSpacing/>
              <w:rPr>
                <w:rFonts w:ascii="Calibri" w:hAnsi="Calibri"/>
                <w:color w:val="000000" w:themeColor="text1"/>
              </w:rPr>
            </w:pPr>
          </w:p>
          <w:p w14:paraId="708A7A6F" w14:textId="77777777" w:rsidR="00303879" w:rsidRDefault="00303879" w:rsidP="00DF0C3C">
            <w:pPr>
              <w:contextualSpacing/>
              <w:rPr>
                <w:rFonts w:ascii="Calibri" w:hAnsi="Calibri"/>
                <w:color w:val="000000" w:themeColor="text1"/>
              </w:rPr>
            </w:pPr>
          </w:p>
          <w:p w14:paraId="759240B1" w14:textId="77777777" w:rsidR="00303879" w:rsidRDefault="00303879" w:rsidP="00DF0C3C">
            <w:pPr>
              <w:contextualSpacing/>
              <w:rPr>
                <w:rFonts w:ascii="Calibri" w:hAnsi="Calibri"/>
                <w:color w:val="000000" w:themeColor="text1"/>
              </w:rPr>
            </w:pPr>
          </w:p>
          <w:p w14:paraId="6A23F335" w14:textId="0B87D8BB" w:rsidR="00303879" w:rsidRPr="00A76818" w:rsidRDefault="00303879" w:rsidP="00DF0C3C">
            <w:pPr>
              <w:contextualSpacing/>
              <w:rPr>
                <w:rFonts w:ascii="Calibri" w:hAnsi="Calibri"/>
                <w:b w:val="0"/>
                <w:bCs w:val="0"/>
                <w:color w:val="000000" w:themeColor="text1"/>
              </w:rPr>
            </w:pPr>
          </w:p>
        </w:tc>
        <w:tc>
          <w:tcPr>
            <w:tcW w:w="7699" w:type="dxa"/>
          </w:tcPr>
          <w:p w14:paraId="0036310B" w14:textId="77777777" w:rsidR="00DF0C3C" w:rsidRPr="00A76818"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VI-SPDAT Score: 4-7</w:t>
            </w:r>
          </w:p>
        </w:tc>
      </w:tr>
      <w:tr w:rsidR="00DF0C3C" w:rsidRPr="00A76818" w14:paraId="7C394E0E" w14:textId="77777777" w:rsidTr="00F769D9">
        <w:trPr>
          <w:cnfStyle w:val="000000100000" w:firstRow="0" w:lastRow="0" w:firstColumn="0" w:lastColumn="0" w:oddVBand="0" w:evenVBand="0" w:oddHBand="1" w:evenHBand="0" w:firstRowFirstColumn="0" w:firstRowLastColumn="0" w:lastRowFirstColumn="0" w:lastRowLastColumn="0"/>
          <w:trHeight w:val="1143"/>
        </w:trPr>
        <w:tc>
          <w:tcPr>
            <w:cnfStyle w:val="001000000000" w:firstRow="0" w:lastRow="0" w:firstColumn="1" w:lastColumn="0" w:oddVBand="0" w:evenVBand="0" w:oddHBand="0" w:evenHBand="0" w:firstRowFirstColumn="0" w:firstRowLastColumn="0" w:lastRowFirstColumn="0" w:lastRowLastColumn="0"/>
            <w:tcW w:w="4086" w:type="dxa"/>
            <w:vMerge/>
          </w:tcPr>
          <w:p w14:paraId="4B254E90" w14:textId="77777777" w:rsidR="00DF0C3C" w:rsidRPr="00A76818" w:rsidRDefault="00DF0C3C" w:rsidP="00DF0C3C">
            <w:pPr>
              <w:contextualSpacing/>
              <w:rPr>
                <w:rFonts w:ascii="Calibri" w:hAnsi="Calibri"/>
                <w:b w:val="0"/>
                <w:bCs w:val="0"/>
                <w:color w:val="000000" w:themeColor="text1"/>
              </w:rPr>
            </w:pPr>
          </w:p>
        </w:tc>
        <w:tc>
          <w:tcPr>
            <w:tcW w:w="7699" w:type="dxa"/>
          </w:tcPr>
          <w:p w14:paraId="7143C832" w14:textId="77777777" w:rsidR="00DF0C3C" w:rsidRPr="00A76818"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1+ HUD Disabling Condition(s): </w:t>
            </w:r>
          </w:p>
          <w:p w14:paraId="506416DB" w14:textId="77777777" w:rsidR="00DF0C3C" w:rsidRPr="00A76818" w:rsidRDefault="00DF0C3C">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76818">
              <w:rPr>
                <w:rFonts w:ascii="Calibri" w:hAnsi="Calibri"/>
                <w:color w:val="000000" w:themeColor="text1"/>
              </w:rPr>
              <w:t>Physical Health </w:t>
            </w:r>
          </w:p>
          <w:p w14:paraId="11CEC481" w14:textId="3C799731" w:rsidR="00303879" w:rsidRPr="00303879" w:rsidRDefault="00DF0C3C" w:rsidP="00303879">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76818">
              <w:rPr>
                <w:rFonts w:ascii="Calibri" w:hAnsi="Calibri"/>
                <w:color w:val="000000" w:themeColor="text1"/>
              </w:rPr>
              <w:t>Mental Health </w:t>
            </w:r>
          </w:p>
          <w:p w14:paraId="2FFC7350" w14:textId="77777777" w:rsidR="00DF0C3C" w:rsidRPr="00A76818" w:rsidRDefault="00DF0C3C">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76818">
              <w:rPr>
                <w:rFonts w:ascii="Calibri" w:hAnsi="Calibri"/>
                <w:color w:val="000000" w:themeColor="text1"/>
              </w:rPr>
              <w:t>Substance Use </w:t>
            </w:r>
          </w:p>
          <w:p w14:paraId="02E09178" w14:textId="77777777" w:rsidR="00DF0C3C" w:rsidRPr="00A76818" w:rsidRDefault="00DF0C3C">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76818">
              <w:rPr>
                <w:rFonts w:ascii="Calibri" w:hAnsi="Calibri"/>
                <w:color w:val="000000" w:themeColor="text1"/>
              </w:rPr>
              <w:t>Developmental Disability </w:t>
            </w:r>
          </w:p>
        </w:tc>
      </w:tr>
      <w:tr w:rsidR="00DF0C3C" w:rsidRPr="00A76818" w14:paraId="68C3FA54" w14:textId="77777777" w:rsidTr="00F769D9">
        <w:trPr>
          <w:trHeight w:val="234"/>
        </w:trPr>
        <w:tc>
          <w:tcPr>
            <w:cnfStyle w:val="001000000000" w:firstRow="0" w:lastRow="0" w:firstColumn="1" w:lastColumn="0" w:oddVBand="0" w:evenVBand="0" w:oddHBand="0" w:evenHBand="0" w:firstRowFirstColumn="0" w:firstRowLastColumn="0" w:lastRowFirstColumn="0" w:lastRowLastColumn="0"/>
            <w:tcW w:w="4086" w:type="dxa"/>
          </w:tcPr>
          <w:p w14:paraId="3D746866" w14:textId="77777777" w:rsidR="00DF0C3C" w:rsidRPr="00A76818" w:rsidRDefault="00DF0C3C" w:rsidP="00DF0C3C">
            <w:pPr>
              <w:contextualSpacing/>
              <w:rPr>
                <w:rFonts w:ascii="Calibri" w:hAnsi="Calibri" w:cs="Calibri"/>
                <w:b w:val="0"/>
                <w:bCs w:val="0"/>
                <w:color w:val="000000" w:themeColor="text1"/>
              </w:rPr>
            </w:pPr>
            <w:r w:rsidRPr="00A76818">
              <w:rPr>
                <w:rFonts w:ascii="Calibri" w:hAnsi="Calibri" w:cs="Calibri"/>
                <w:b w:val="0"/>
                <w:bCs w:val="0"/>
                <w:color w:val="000000" w:themeColor="text1"/>
              </w:rPr>
              <w:t>Priority 3</w:t>
            </w:r>
          </w:p>
        </w:tc>
        <w:tc>
          <w:tcPr>
            <w:tcW w:w="7699" w:type="dxa"/>
          </w:tcPr>
          <w:p w14:paraId="35D5DE75" w14:textId="77777777" w:rsidR="00DF0C3C" w:rsidRPr="00A76818"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VI-SPDAT Score: 4-7</w:t>
            </w:r>
          </w:p>
        </w:tc>
      </w:tr>
      <w:tr w:rsidR="00DF0C3C" w:rsidRPr="00A76818" w14:paraId="204F8F67" w14:textId="77777777" w:rsidTr="00F769D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86" w:type="dxa"/>
            <w:vMerge w:val="restart"/>
          </w:tcPr>
          <w:p w14:paraId="416761D3" w14:textId="77777777" w:rsidR="00DF0C3C" w:rsidRPr="00A76818" w:rsidRDefault="00DF0C3C" w:rsidP="00DF0C3C">
            <w:pPr>
              <w:contextualSpacing/>
              <w:rPr>
                <w:rFonts w:ascii="Calibri" w:hAnsi="Calibri" w:cs="Calibri"/>
                <w:b w:val="0"/>
                <w:bCs w:val="0"/>
                <w:color w:val="000000" w:themeColor="text1"/>
              </w:rPr>
            </w:pPr>
            <w:r w:rsidRPr="00A76818">
              <w:rPr>
                <w:rFonts w:ascii="Calibri" w:hAnsi="Calibri" w:cs="Calibri"/>
                <w:b w:val="0"/>
                <w:bCs w:val="0"/>
                <w:color w:val="000000" w:themeColor="text1"/>
              </w:rPr>
              <w:t>Priority 4</w:t>
            </w:r>
          </w:p>
        </w:tc>
        <w:tc>
          <w:tcPr>
            <w:tcW w:w="7699" w:type="dxa"/>
          </w:tcPr>
          <w:p w14:paraId="3620B86A" w14:textId="77777777" w:rsidR="00DF0C3C" w:rsidRPr="00A76818"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VI-SPDAT Score: 4-7</w:t>
            </w:r>
          </w:p>
        </w:tc>
      </w:tr>
      <w:tr w:rsidR="00DF0C3C" w:rsidRPr="00A76818" w14:paraId="294CDB44" w14:textId="77777777" w:rsidTr="00F769D9">
        <w:trPr>
          <w:trHeight w:val="251"/>
        </w:trPr>
        <w:tc>
          <w:tcPr>
            <w:cnfStyle w:val="001000000000" w:firstRow="0" w:lastRow="0" w:firstColumn="1" w:lastColumn="0" w:oddVBand="0" w:evenVBand="0" w:oddHBand="0" w:evenHBand="0" w:firstRowFirstColumn="0" w:firstRowLastColumn="0" w:lastRowFirstColumn="0" w:lastRowLastColumn="0"/>
            <w:tcW w:w="4086" w:type="dxa"/>
            <w:vMerge/>
          </w:tcPr>
          <w:p w14:paraId="273D348B" w14:textId="77777777" w:rsidR="00DF0C3C" w:rsidRPr="00A76818" w:rsidRDefault="00DF0C3C" w:rsidP="00DF0C3C">
            <w:pPr>
              <w:contextualSpacing/>
              <w:rPr>
                <w:rFonts w:ascii="Calibri" w:hAnsi="Calibri" w:cs="Calibri"/>
                <w:color w:val="000000" w:themeColor="text1"/>
              </w:rPr>
            </w:pPr>
          </w:p>
        </w:tc>
        <w:tc>
          <w:tcPr>
            <w:tcW w:w="7699" w:type="dxa"/>
          </w:tcPr>
          <w:p w14:paraId="72156EF7" w14:textId="77777777" w:rsidR="00DF0C3C"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Households scoring 8+ on the VI-SPDAT may be considered for RRH if: </w:t>
            </w:r>
          </w:p>
          <w:p w14:paraId="3B4EFBF5" w14:textId="77777777" w:rsidR="00DF0C3C" w:rsidRPr="00A76818" w:rsidRDefault="00DF0C3C">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The household meets other RRH criteria; </w:t>
            </w:r>
          </w:p>
          <w:p w14:paraId="6024B427" w14:textId="77777777" w:rsidR="00DF0C3C" w:rsidRPr="00A76818" w:rsidRDefault="00DF0C3C">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The household is referred to case conferencing due to objective, community-wide criteria; and </w:t>
            </w:r>
          </w:p>
          <w:p w14:paraId="7B202750" w14:textId="77777777" w:rsidR="00DF0C3C" w:rsidRPr="00A76818" w:rsidRDefault="00DF0C3C" w:rsidP="00DF0C3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Through case conferencing, the community determines that there is a substantial likelihood that RRH will meet the household’s housing and service needs</w:t>
            </w:r>
          </w:p>
          <w:p w14:paraId="14632E01" w14:textId="77777777" w:rsidR="00DF0C3C"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p w14:paraId="673016C1" w14:textId="77777777" w:rsidR="00303879" w:rsidRDefault="00303879"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p w14:paraId="1B911E87" w14:textId="3BE8A5DE" w:rsidR="00303879" w:rsidRPr="00A76818" w:rsidRDefault="00303879"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bl>
    <w:p w14:paraId="2CB969C7" w14:textId="03C525E5" w:rsidR="00DF0C3C" w:rsidRDefault="00DF0C3C" w:rsidP="00DF0C3C">
      <w:pPr>
        <w:contextualSpacing/>
        <w:rPr>
          <w:rFonts w:ascii="Calibri" w:hAnsi="Calibri" w:cs="Calibri"/>
          <w:color w:val="000000" w:themeColor="text1"/>
        </w:rPr>
      </w:pPr>
    </w:p>
    <w:p w14:paraId="3D4B7465" w14:textId="12BD14FF" w:rsidR="003D267D" w:rsidRDefault="003D267D" w:rsidP="00DF0C3C">
      <w:pPr>
        <w:contextualSpacing/>
        <w:rPr>
          <w:rFonts w:ascii="Calibri" w:hAnsi="Calibri" w:cs="Calibri"/>
          <w:color w:val="000000" w:themeColor="text1"/>
        </w:rPr>
      </w:pPr>
    </w:p>
    <w:p w14:paraId="7ADB26FE" w14:textId="4473CC7E" w:rsidR="003D267D" w:rsidRDefault="003D267D" w:rsidP="00DF0C3C">
      <w:pPr>
        <w:contextualSpacing/>
        <w:rPr>
          <w:rFonts w:ascii="Calibri" w:hAnsi="Calibri" w:cs="Calibri"/>
          <w:color w:val="000000" w:themeColor="text1"/>
        </w:rPr>
      </w:pPr>
    </w:p>
    <w:p w14:paraId="2C47C804" w14:textId="77777777" w:rsidR="003D267D" w:rsidRDefault="003D267D" w:rsidP="00DF0C3C">
      <w:pPr>
        <w:contextualSpacing/>
        <w:rPr>
          <w:rFonts w:ascii="Calibri" w:hAnsi="Calibri" w:cs="Calibri"/>
          <w:color w:val="000000" w:themeColor="text1"/>
        </w:rPr>
      </w:pPr>
    </w:p>
    <w:tbl>
      <w:tblPr>
        <w:tblStyle w:val="GridTable4-Accent1"/>
        <w:tblpPr w:leftFromText="180" w:rightFromText="180" w:vertAnchor="text" w:horzAnchor="margin" w:tblpXSpec="center" w:tblpY="213"/>
        <w:tblW w:w="11065" w:type="dxa"/>
        <w:tblLook w:val="04A0" w:firstRow="1" w:lastRow="0" w:firstColumn="1" w:lastColumn="0" w:noHBand="0" w:noVBand="1"/>
      </w:tblPr>
      <w:tblGrid>
        <w:gridCol w:w="5035"/>
        <w:gridCol w:w="1260"/>
        <w:gridCol w:w="1440"/>
        <w:gridCol w:w="1530"/>
        <w:gridCol w:w="1789"/>
        <w:gridCol w:w="11"/>
      </w:tblGrid>
      <w:tr w:rsidR="00DF0C3C" w:rsidRPr="000604EE" w14:paraId="534C57C9" w14:textId="77777777" w:rsidTr="00271B9B">
        <w:trPr>
          <w:gridAfter w:val="1"/>
          <w:cnfStyle w:val="100000000000" w:firstRow="1" w:lastRow="0" w:firstColumn="0" w:lastColumn="0" w:oddVBand="0" w:evenVBand="0" w:oddHBand="0" w:evenHBand="0" w:firstRowFirstColumn="0" w:firstRowLastColumn="0" w:lastRowFirstColumn="0" w:lastRowLastColumn="0"/>
          <w:wAfter w:w="11" w:type="dxa"/>
          <w:trHeight w:val="280"/>
        </w:trPr>
        <w:tc>
          <w:tcPr>
            <w:cnfStyle w:val="001000000000" w:firstRow="0" w:lastRow="0" w:firstColumn="1" w:lastColumn="0" w:oddVBand="0" w:evenVBand="0" w:oddHBand="0" w:evenHBand="0" w:firstRowFirstColumn="0" w:firstRowLastColumn="0" w:lastRowFirstColumn="0" w:lastRowLastColumn="0"/>
            <w:tcW w:w="11054" w:type="dxa"/>
            <w:gridSpan w:val="5"/>
          </w:tcPr>
          <w:p w14:paraId="5468CB4E" w14:textId="77777777" w:rsidR="00DF0C3C" w:rsidRPr="00A76818" w:rsidRDefault="00DF0C3C" w:rsidP="00DF0C3C">
            <w:pPr>
              <w:contextualSpacing/>
              <w:rPr>
                <w:rFonts w:ascii="Calibri" w:hAnsi="Calibri" w:cs="Calibri"/>
                <w:b w:val="0"/>
                <w:bCs w:val="0"/>
                <w:color w:val="000000" w:themeColor="text1"/>
              </w:rPr>
            </w:pPr>
            <w:r w:rsidRPr="00A76818">
              <w:rPr>
                <w:rFonts w:ascii="Calibri" w:hAnsi="Calibri" w:cs="Calibri"/>
                <w:b w:val="0"/>
                <w:bCs w:val="0"/>
                <w:color w:val="000000" w:themeColor="text1"/>
              </w:rPr>
              <w:t>Summary of Eligibility Criterion for Rapid Re-Housing and Homeless Prevention (CoC and ESG)</w:t>
            </w:r>
          </w:p>
        </w:tc>
      </w:tr>
      <w:tr w:rsidR="00DF0C3C" w:rsidRPr="000604EE" w14:paraId="53B13464" w14:textId="77777777" w:rsidTr="00271B9B">
        <w:trPr>
          <w:gridAfter w:val="1"/>
          <w:cnfStyle w:val="000000100000" w:firstRow="0" w:lastRow="0" w:firstColumn="0" w:lastColumn="0" w:oddVBand="0" w:evenVBand="0" w:oddHBand="1" w:evenHBand="0" w:firstRowFirstColumn="0" w:firstRowLastColumn="0" w:lastRowFirstColumn="0" w:lastRowLastColumn="0"/>
          <w:wAfter w:w="11" w:type="dxa"/>
          <w:trHeight w:val="280"/>
        </w:trPr>
        <w:tc>
          <w:tcPr>
            <w:cnfStyle w:val="001000000000" w:firstRow="0" w:lastRow="0" w:firstColumn="1" w:lastColumn="0" w:oddVBand="0" w:evenVBand="0" w:oddHBand="0" w:evenHBand="0" w:firstRowFirstColumn="0" w:firstRowLastColumn="0" w:lastRowFirstColumn="0" w:lastRowLastColumn="0"/>
            <w:tcW w:w="5035" w:type="dxa"/>
            <w:vMerge w:val="restart"/>
          </w:tcPr>
          <w:p w14:paraId="32D09BCD" w14:textId="77777777" w:rsidR="00DF0C3C" w:rsidRPr="00A76818" w:rsidRDefault="00DF0C3C" w:rsidP="00DF0C3C">
            <w:pPr>
              <w:contextualSpacing/>
              <w:rPr>
                <w:rFonts w:ascii="Calibri" w:hAnsi="Calibri" w:cs="Calibri"/>
                <w:b w:val="0"/>
                <w:bCs w:val="0"/>
                <w:color w:val="000000" w:themeColor="text1"/>
              </w:rPr>
            </w:pPr>
            <w:r w:rsidRPr="00A76818">
              <w:rPr>
                <w:rFonts w:ascii="Calibri" w:hAnsi="Calibri" w:cs="Calibri"/>
                <w:b w:val="0"/>
                <w:bCs w:val="0"/>
                <w:color w:val="000000" w:themeColor="text1"/>
              </w:rPr>
              <w:t>Criterion</w:t>
            </w:r>
          </w:p>
        </w:tc>
        <w:tc>
          <w:tcPr>
            <w:tcW w:w="2700" w:type="dxa"/>
            <w:gridSpan w:val="2"/>
          </w:tcPr>
          <w:p w14:paraId="07F5E2E4" w14:textId="77777777" w:rsidR="00DF0C3C" w:rsidRPr="00A76818"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Initial Evaluation</w:t>
            </w:r>
          </w:p>
        </w:tc>
        <w:tc>
          <w:tcPr>
            <w:tcW w:w="3319" w:type="dxa"/>
            <w:gridSpan w:val="2"/>
          </w:tcPr>
          <w:p w14:paraId="7F0DE904" w14:textId="77777777" w:rsidR="00DF0C3C" w:rsidRPr="00A76818"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Re-Evaluation</w:t>
            </w:r>
          </w:p>
        </w:tc>
      </w:tr>
      <w:tr w:rsidR="00DF0C3C" w:rsidRPr="000604EE" w14:paraId="694AC131" w14:textId="77777777" w:rsidTr="00271B9B">
        <w:trPr>
          <w:trHeight w:val="275"/>
        </w:trPr>
        <w:tc>
          <w:tcPr>
            <w:cnfStyle w:val="001000000000" w:firstRow="0" w:lastRow="0" w:firstColumn="1" w:lastColumn="0" w:oddVBand="0" w:evenVBand="0" w:oddHBand="0" w:evenHBand="0" w:firstRowFirstColumn="0" w:firstRowLastColumn="0" w:lastRowFirstColumn="0" w:lastRowLastColumn="0"/>
            <w:tcW w:w="5035" w:type="dxa"/>
            <w:vMerge/>
          </w:tcPr>
          <w:p w14:paraId="5033B692" w14:textId="77777777" w:rsidR="00DF0C3C" w:rsidRPr="000604EE" w:rsidRDefault="00DF0C3C" w:rsidP="00DF0C3C">
            <w:pPr>
              <w:contextualSpacing/>
              <w:rPr>
                <w:rFonts w:ascii="Calibri" w:hAnsi="Calibri"/>
                <w:b w:val="0"/>
                <w:bCs w:val="0"/>
                <w:color w:val="000000" w:themeColor="text1"/>
                <w:sz w:val="20"/>
                <w:szCs w:val="21"/>
              </w:rPr>
            </w:pPr>
          </w:p>
        </w:tc>
        <w:tc>
          <w:tcPr>
            <w:tcW w:w="1260" w:type="dxa"/>
          </w:tcPr>
          <w:p w14:paraId="6AEFDB80" w14:textId="77777777" w:rsidR="00DF0C3C" w:rsidRPr="00A76818"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ESG-RRH</w:t>
            </w:r>
          </w:p>
        </w:tc>
        <w:tc>
          <w:tcPr>
            <w:tcW w:w="1440" w:type="dxa"/>
          </w:tcPr>
          <w:p w14:paraId="0EC49CE3" w14:textId="77777777" w:rsidR="00DF0C3C" w:rsidRPr="00A76818"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CoC-RRH</w:t>
            </w:r>
          </w:p>
        </w:tc>
        <w:tc>
          <w:tcPr>
            <w:tcW w:w="1530" w:type="dxa"/>
          </w:tcPr>
          <w:p w14:paraId="27C36CC9" w14:textId="77777777" w:rsidR="00DF0C3C" w:rsidRPr="00A76818"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ESG-RRH</w:t>
            </w:r>
          </w:p>
        </w:tc>
        <w:tc>
          <w:tcPr>
            <w:tcW w:w="1800" w:type="dxa"/>
            <w:gridSpan w:val="2"/>
          </w:tcPr>
          <w:p w14:paraId="0F3116F7" w14:textId="77777777" w:rsidR="00DF0C3C" w:rsidRPr="00A76818"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CoC-RRH</w:t>
            </w:r>
          </w:p>
        </w:tc>
      </w:tr>
      <w:tr w:rsidR="00DF0C3C" w:rsidRPr="000604EE" w14:paraId="78273356" w14:textId="77777777" w:rsidTr="00271B9B">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035" w:type="dxa"/>
          </w:tcPr>
          <w:p w14:paraId="73E26F3B" w14:textId="77777777" w:rsidR="00DF0C3C" w:rsidRPr="00A76818" w:rsidRDefault="00DF0C3C" w:rsidP="00DF0C3C">
            <w:pPr>
              <w:contextualSpacing/>
              <w:rPr>
                <w:rFonts w:ascii="Calibri" w:hAnsi="Calibri" w:cs="Calibri"/>
                <w:b w:val="0"/>
                <w:bCs w:val="0"/>
                <w:color w:val="000000" w:themeColor="text1"/>
              </w:rPr>
            </w:pPr>
            <w:r w:rsidRPr="00A76818">
              <w:rPr>
                <w:rFonts w:ascii="Calibri" w:hAnsi="Calibri" w:cs="Calibri"/>
                <w:b w:val="0"/>
                <w:bCs w:val="0"/>
                <w:color w:val="000000" w:themeColor="text1"/>
              </w:rPr>
              <w:t>Literally Homeless</w:t>
            </w:r>
          </w:p>
        </w:tc>
        <w:tc>
          <w:tcPr>
            <w:tcW w:w="1260" w:type="dxa"/>
          </w:tcPr>
          <w:p w14:paraId="50D222FE" w14:textId="77777777" w:rsidR="00DF0C3C" w:rsidRPr="00A76818"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c>
          <w:tcPr>
            <w:tcW w:w="1440" w:type="dxa"/>
          </w:tcPr>
          <w:p w14:paraId="28954E28" w14:textId="77777777" w:rsidR="00DF0C3C" w:rsidRPr="00A76818"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c>
          <w:tcPr>
            <w:tcW w:w="1530" w:type="dxa"/>
          </w:tcPr>
          <w:p w14:paraId="02E40CE2" w14:textId="77777777" w:rsidR="00DF0C3C" w:rsidRPr="000604EE"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0"/>
                <w:szCs w:val="21"/>
              </w:rPr>
            </w:pPr>
          </w:p>
        </w:tc>
        <w:tc>
          <w:tcPr>
            <w:tcW w:w="1800" w:type="dxa"/>
            <w:gridSpan w:val="2"/>
          </w:tcPr>
          <w:p w14:paraId="01CEDDFF" w14:textId="77777777" w:rsidR="00DF0C3C" w:rsidRPr="000604EE"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0"/>
                <w:szCs w:val="21"/>
              </w:rPr>
            </w:pPr>
          </w:p>
        </w:tc>
      </w:tr>
      <w:tr w:rsidR="00DF0C3C" w:rsidRPr="000604EE" w14:paraId="569D34FE" w14:textId="77777777" w:rsidTr="00271B9B">
        <w:trPr>
          <w:trHeight w:val="413"/>
        </w:trPr>
        <w:tc>
          <w:tcPr>
            <w:cnfStyle w:val="001000000000" w:firstRow="0" w:lastRow="0" w:firstColumn="1" w:lastColumn="0" w:oddVBand="0" w:evenVBand="0" w:oddHBand="0" w:evenHBand="0" w:firstRowFirstColumn="0" w:firstRowLastColumn="0" w:lastRowFirstColumn="0" w:lastRowLastColumn="0"/>
            <w:tcW w:w="5035" w:type="dxa"/>
          </w:tcPr>
          <w:p w14:paraId="12E967D2" w14:textId="77777777" w:rsidR="00DF0C3C" w:rsidRPr="00A76818" w:rsidRDefault="00DF0C3C" w:rsidP="00DF0C3C">
            <w:pPr>
              <w:contextualSpacing/>
              <w:rPr>
                <w:rFonts w:ascii="Calibri" w:hAnsi="Calibri" w:cs="Calibri"/>
                <w:b w:val="0"/>
                <w:bCs w:val="0"/>
                <w:color w:val="000000" w:themeColor="text1"/>
              </w:rPr>
            </w:pPr>
            <w:r w:rsidRPr="00A76818">
              <w:rPr>
                <w:rFonts w:ascii="Calibri" w:hAnsi="Calibri" w:cs="Calibri"/>
                <w:b w:val="0"/>
                <w:bCs w:val="0"/>
                <w:color w:val="000000" w:themeColor="text1"/>
              </w:rPr>
              <w:t>Imminent Risk of Homelessness</w:t>
            </w:r>
          </w:p>
        </w:tc>
        <w:tc>
          <w:tcPr>
            <w:tcW w:w="1260" w:type="dxa"/>
          </w:tcPr>
          <w:p w14:paraId="1F409FC2" w14:textId="77777777" w:rsidR="00DF0C3C" w:rsidRPr="000604EE"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0"/>
                <w:szCs w:val="21"/>
              </w:rPr>
            </w:pPr>
          </w:p>
        </w:tc>
        <w:tc>
          <w:tcPr>
            <w:tcW w:w="1440" w:type="dxa"/>
          </w:tcPr>
          <w:p w14:paraId="0D3D9F5C" w14:textId="77777777" w:rsidR="00DF0C3C" w:rsidRPr="00A76818"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c>
          <w:tcPr>
            <w:tcW w:w="1530" w:type="dxa"/>
          </w:tcPr>
          <w:p w14:paraId="101743A6" w14:textId="77777777" w:rsidR="00DF0C3C" w:rsidRPr="000604EE"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0"/>
                <w:szCs w:val="21"/>
              </w:rPr>
            </w:pPr>
          </w:p>
        </w:tc>
        <w:tc>
          <w:tcPr>
            <w:tcW w:w="1800" w:type="dxa"/>
            <w:gridSpan w:val="2"/>
          </w:tcPr>
          <w:p w14:paraId="678AE5C2" w14:textId="77777777" w:rsidR="00DF0C3C" w:rsidRPr="000604EE"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0"/>
                <w:szCs w:val="21"/>
              </w:rPr>
            </w:pPr>
          </w:p>
        </w:tc>
      </w:tr>
      <w:tr w:rsidR="00DF0C3C" w:rsidRPr="000604EE" w14:paraId="7DAEE5F6" w14:textId="77777777" w:rsidTr="00271B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35" w:type="dxa"/>
          </w:tcPr>
          <w:p w14:paraId="6806D53B" w14:textId="77777777" w:rsidR="00DF0C3C" w:rsidRPr="00A76818" w:rsidRDefault="00DF0C3C" w:rsidP="00DF0C3C">
            <w:pPr>
              <w:contextualSpacing/>
              <w:rPr>
                <w:rFonts w:ascii="Calibri" w:hAnsi="Calibri" w:cs="Calibri"/>
                <w:b w:val="0"/>
                <w:bCs w:val="0"/>
                <w:color w:val="000000" w:themeColor="text1"/>
              </w:rPr>
            </w:pPr>
            <w:r w:rsidRPr="00A76818">
              <w:rPr>
                <w:rFonts w:ascii="Calibri" w:hAnsi="Calibri" w:cs="Calibri"/>
                <w:b w:val="0"/>
                <w:bCs w:val="0"/>
                <w:color w:val="000000" w:themeColor="text1"/>
              </w:rPr>
              <w:t>Homelessness under other Federal statutes</w:t>
            </w:r>
          </w:p>
        </w:tc>
        <w:tc>
          <w:tcPr>
            <w:tcW w:w="1260" w:type="dxa"/>
          </w:tcPr>
          <w:p w14:paraId="692F13EB" w14:textId="77777777" w:rsidR="00DF0C3C" w:rsidRPr="000604EE"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0"/>
                <w:szCs w:val="21"/>
              </w:rPr>
            </w:pPr>
          </w:p>
        </w:tc>
        <w:tc>
          <w:tcPr>
            <w:tcW w:w="1440" w:type="dxa"/>
          </w:tcPr>
          <w:p w14:paraId="4E1C1641" w14:textId="77777777" w:rsidR="00DF0C3C" w:rsidRPr="00A76818"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c>
          <w:tcPr>
            <w:tcW w:w="1530" w:type="dxa"/>
          </w:tcPr>
          <w:p w14:paraId="268EAD6E" w14:textId="77777777" w:rsidR="00DF0C3C" w:rsidRPr="000604EE"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0"/>
                <w:szCs w:val="21"/>
              </w:rPr>
            </w:pPr>
          </w:p>
        </w:tc>
        <w:tc>
          <w:tcPr>
            <w:tcW w:w="1800" w:type="dxa"/>
            <w:gridSpan w:val="2"/>
          </w:tcPr>
          <w:p w14:paraId="4AA02B6E" w14:textId="77777777" w:rsidR="00DF0C3C" w:rsidRPr="000604EE"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0"/>
                <w:szCs w:val="21"/>
              </w:rPr>
            </w:pPr>
          </w:p>
        </w:tc>
      </w:tr>
      <w:tr w:rsidR="00DF0C3C" w:rsidRPr="000604EE" w14:paraId="7143E1AE" w14:textId="77777777" w:rsidTr="00271B9B">
        <w:trPr>
          <w:trHeight w:val="413"/>
        </w:trPr>
        <w:tc>
          <w:tcPr>
            <w:cnfStyle w:val="001000000000" w:firstRow="0" w:lastRow="0" w:firstColumn="1" w:lastColumn="0" w:oddVBand="0" w:evenVBand="0" w:oddHBand="0" w:evenHBand="0" w:firstRowFirstColumn="0" w:firstRowLastColumn="0" w:lastRowFirstColumn="0" w:lastRowLastColumn="0"/>
            <w:tcW w:w="5035" w:type="dxa"/>
          </w:tcPr>
          <w:p w14:paraId="39B907C0" w14:textId="77777777" w:rsidR="00DF0C3C" w:rsidRPr="00A76818" w:rsidRDefault="00DF0C3C" w:rsidP="00DF0C3C">
            <w:pPr>
              <w:contextualSpacing/>
              <w:rPr>
                <w:rFonts w:ascii="Calibri" w:hAnsi="Calibri" w:cs="Calibri"/>
                <w:b w:val="0"/>
                <w:bCs w:val="0"/>
                <w:color w:val="000000" w:themeColor="text1"/>
              </w:rPr>
            </w:pPr>
            <w:r w:rsidRPr="00A76818">
              <w:rPr>
                <w:rFonts w:ascii="Calibri" w:hAnsi="Calibri" w:cs="Calibri"/>
                <w:b w:val="0"/>
                <w:bCs w:val="0"/>
                <w:color w:val="000000" w:themeColor="text1"/>
              </w:rPr>
              <w:t>Fleeing/Attempting to flee DV</w:t>
            </w:r>
          </w:p>
        </w:tc>
        <w:tc>
          <w:tcPr>
            <w:tcW w:w="1260" w:type="dxa"/>
          </w:tcPr>
          <w:p w14:paraId="0A6B347C" w14:textId="77777777" w:rsidR="00DF0C3C" w:rsidRPr="00A76818"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c>
          <w:tcPr>
            <w:tcW w:w="1440" w:type="dxa"/>
          </w:tcPr>
          <w:p w14:paraId="4DC92375" w14:textId="77777777" w:rsidR="00DF0C3C" w:rsidRPr="00A76818"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c>
          <w:tcPr>
            <w:tcW w:w="1530" w:type="dxa"/>
          </w:tcPr>
          <w:p w14:paraId="38621200" w14:textId="77777777" w:rsidR="00DF0C3C" w:rsidRPr="000604EE"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0"/>
                <w:szCs w:val="21"/>
              </w:rPr>
            </w:pPr>
          </w:p>
        </w:tc>
        <w:tc>
          <w:tcPr>
            <w:tcW w:w="1800" w:type="dxa"/>
            <w:gridSpan w:val="2"/>
          </w:tcPr>
          <w:p w14:paraId="25596351" w14:textId="77777777" w:rsidR="00DF0C3C" w:rsidRPr="000604EE"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0"/>
                <w:szCs w:val="21"/>
              </w:rPr>
            </w:pPr>
          </w:p>
        </w:tc>
      </w:tr>
      <w:tr w:rsidR="00DF0C3C" w:rsidRPr="000604EE" w14:paraId="5A6B8B43" w14:textId="77777777" w:rsidTr="00271B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35" w:type="dxa"/>
          </w:tcPr>
          <w:p w14:paraId="5435C672" w14:textId="77777777" w:rsidR="00DF0C3C" w:rsidRPr="00A76818" w:rsidRDefault="00DF0C3C" w:rsidP="00DF0C3C">
            <w:pPr>
              <w:contextualSpacing/>
              <w:rPr>
                <w:rFonts w:ascii="Calibri" w:hAnsi="Calibri" w:cs="Calibri"/>
                <w:b w:val="0"/>
                <w:bCs w:val="0"/>
                <w:color w:val="000000" w:themeColor="text1"/>
              </w:rPr>
            </w:pPr>
            <w:r w:rsidRPr="00A76818">
              <w:rPr>
                <w:rFonts w:ascii="Calibri" w:hAnsi="Calibri" w:cs="Calibri"/>
                <w:b w:val="0"/>
                <w:bCs w:val="0"/>
                <w:color w:val="000000" w:themeColor="text1"/>
              </w:rPr>
              <w:t>Income Evaluation Required</w:t>
            </w:r>
          </w:p>
        </w:tc>
        <w:tc>
          <w:tcPr>
            <w:tcW w:w="1260" w:type="dxa"/>
          </w:tcPr>
          <w:p w14:paraId="2E0AF588" w14:textId="77777777" w:rsidR="00DF0C3C" w:rsidRPr="000604EE"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0"/>
                <w:szCs w:val="21"/>
              </w:rPr>
            </w:pPr>
          </w:p>
        </w:tc>
        <w:tc>
          <w:tcPr>
            <w:tcW w:w="1440" w:type="dxa"/>
          </w:tcPr>
          <w:p w14:paraId="757A2E61" w14:textId="77777777" w:rsidR="00DF0C3C" w:rsidRPr="000604EE"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0"/>
                <w:szCs w:val="21"/>
              </w:rPr>
            </w:pPr>
          </w:p>
        </w:tc>
        <w:tc>
          <w:tcPr>
            <w:tcW w:w="1530" w:type="dxa"/>
          </w:tcPr>
          <w:p w14:paraId="6B52467B" w14:textId="77777777" w:rsidR="00DF0C3C" w:rsidRPr="00A76818"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c>
          <w:tcPr>
            <w:tcW w:w="1800" w:type="dxa"/>
            <w:gridSpan w:val="2"/>
          </w:tcPr>
          <w:p w14:paraId="4E66D7A4" w14:textId="77777777" w:rsidR="00DF0C3C" w:rsidRPr="00A76818"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r>
      <w:tr w:rsidR="00DF0C3C" w:rsidRPr="000604EE" w14:paraId="39688ACF" w14:textId="77777777" w:rsidTr="00271B9B">
        <w:trPr>
          <w:trHeight w:val="413"/>
        </w:trPr>
        <w:tc>
          <w:tcPr>
            <w:cnfStyle w:val="001000000000" w:firstRow="0" w:lastRow="0" w:firstColumn="1" w:lastColumn="0" w:oddVBand="0" w:evenVBand="0" w:oddHBand="0" w:evenHBand="0" w:firstRowFirstColumn="0" w:firstRowLastColumn="0" w:lastRowFirstColumn="0" w:lastRowLastColumn="0"/>
            <w:tcW w:w="5035" w:type="dxa"/>
          </w:tcPr>
          <w:p w14:paraId="6ACA7DA0" w14:textId="77777777" w:rsidR="00DF0C3C" w:rsidRPr="00A76818" w:rsidRDefault="00DF0C3C" w:rsidP="00DF0C3C">
            <w:pPr>
              <w:contextualSpacing/>
              <w:rPr>
                <w:rFonts w:ascii="Calibri" w:hAnsi="Calibri" w:cs="Calibri"/>
                <w:b w:val="0"/>
                <w:bCs w:val="0"/>
                <w:color w:val="000000" w:themeColor="text1"/>
              </w:rPr>
            </w:pPr>
            <w:r w:rsidRPr="00A76818">
              <w:rPr>
                <w:rFonts w:ascii="Calibri" w:hAnsi="Calibri" w:cs="Calibri"/>
                <w:b w:val="0"/>
                <w:bCs w:val="0"/>
                <w:color w:val="000000" w:themeColor="text1"/>
              </w:rPr>
              <w:t>Income Requirement</w:t>
            </w:r>
          </w:p>
        </w:tc>
        <w:tc>
          <w:tcPr>
            <w:tcW w:w="1260" w:type="dxa"/>
          </w:tcPr>
          <w:p w14:paraId="75425FBA" w14:textId="77777777" w:rsidR="00DF0C3C" w:rsidRPr="000604EE"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0"/>
                <w:szCs w:val="21"/>
              </w:rPr>
            </w:pPr>
          </w:p>
        </w:tc>
        <w:tc>
          <w:tcPr>
            <w:tcW w:w="1440" w:type="dxa"/>
          </w:tcPr>
          <w:p w14:paraId="0E5F6579" w14:textId="77777777" w:rsidR="00DF0C3C" w:rsidRPr="000604EE"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0"/>
                <w:szCs w:val="21"/>
              </w:rPr>
            </w:pPr>
          </w:p>
        </w:tc>
        <w:tc>
          <w:tcPr>
            <w:tcW w:w="1530" w:type="dxa"/>
          </w:tcPr>
          <w:p w14:paraId="7CC49304" w14:textId="77777777" w:rsidR="00DF0C3C" w:rsidRPr="00A76818"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30% AMI</w:t>
            </w:r>
          </w:p>
        </w:tc>
        <w:tc>
          <w:tcPr>
            <w:tcW w:w="1800" w:type="dxa"/>
            <w:gridSpan w:val="2"/>
          </w:tcPr>
          <w:p w14:paraId="1C490C46" w14:textId="77777777" w:rsidR="00DF0C3C" w:rsidRPr="00A76818"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80% AMI</w:t>
            </w:r>
          </w:p>
        </w:tc>
      </w:tr>
      <w:tr w:rsidR="00DF0C3C" w:rsidRPr="000604EE" w14:paraId="5B1496C7" w14:textId="77777777" w:rsidTr="00271B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35" w:type="dxa"/>
          </w:tcPr>
          <w:p w14:paraId="7AA1F592" w14:textId="77777777" w:rsidR="00DF0C3C" w:rsidRPr="00A76818" w:rsidRDefault="00DF0C3C" w:rsidP="00DF0C3C">
            <w:pPr>
              <w:contextualSpacing/>
              <w:rPr>
                <w:rFonts w:ascii="Calibri" w:hAnsi="Calibri" w:cs="Calibri"/>
                <w:b w:val="0"/>
                <w:bCs w:val="0"/>
                <w:color w:val="000000" w:themeColor="text1"/>
              </w:rPr>
            </w:pPr>
            <w:r w:rsidRPr="00A76818">
              <w:rPr>
                <w:rFonts w:ascii="Calibri" w:hAnsi="Calibri" w:cs="Calibri"/>
                <w:b w:val="0"/>
                <w:bCs w:val="0"/>
                <w:color w:val="000000" w:themeColor="text1"/>
              </w:rPr>
              <w:t xml:space="preserve">Need (Amount and Type of Assistance) </w:t>
            </w:r>
          </w:p>
        </w:tc>
        <w:tc>
          <w:tcPr>
            <w:tcW w:w="1260" w:type="dxa"/>
          </w:tcPr>
          <w:p w14:paraId="3256E218" w14:textId="77777777" w:rsidR="00DF0C3C" w:rsidRPr="00A76818"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c>
          <w:tcPr>
            <w:tcW w:w="1440" w:type="dxa"/>
          </w:tcPr>
          <w:p w14:paraId="4A2C7687" w14:textId="77777777" w:rsidR="00DF0C3C" w:rsidRPr="00A76818"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c>
          <w:tcPr>
            <w:tcW w:w="1530" w:type="dxa"/>
          </w:tcPr>
          <w:p w14:paraId="26CC01A5" w14:textId="77777777" w:rsidR="00DF0C3C" w:rsidRPr="00A76818"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c>
          <w:tcPr>
            <w:tcW w:w="1800" w:type="dxa"/>
            <w:gridSpan w:val="2"/>
          </w:tcPr>
          <w:p w14:paraId="7B67E04B" w14:textId="77777777" w:rsidR="00DF0C3C" w:rsidRPr="00A76818" w:rsidRDefault="00DF0C3C"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r>
      <w:tr w:rsidR="00DF0C3C" w:rsidRPr="000604EE" w14:paraId="765EFA6E" w14:textId="77777777" w:rsidTr="00271B9B">
        <w:trPr>
          <w:trHeight w:val="413"/>
        </w:trPr>
        <w:tc>
          <w:tcPr>
            <w:cnfStyle w:val="001000000000" w:firstRow="0" w:lastRow="0" w:firstColumn="1" w:lastColumn="0" w:oddVBand="0" w:evenVBand="0" w:oddHBand="0" w:evenHBand="0" w:firstRowFirstColumn="0" w:firstRowLastColumn="0" w:lastRowFirstColumn="0" w:lastRowLastColumn="0"/>
            <w:tcW w:w="5035" w:type="dxa"/>
          </w:tcPr>
          <w:p w14:paraId="3FE9421C" w14:textId="77777777" w:rsidR="00DF0C3C" w:rsidRPr="00A76818" w:rsidRDefault="00DF0C3C" w:rsidP="00DF0C3C">
            <w:pPr>
              <w:contextualSpacing/>
              <w:rPr>
                <w:rFonts w:ascii="Calibri" w:hAnsi="Calibri" w:cs="Calibri"/>
                <w:b w:val="0"/>
                <w:bCs w:val="0"/>
                <w:color w:val="000000" w:themeColor="text1"/>
              </w:rPr>
            </w:pPr>
            <w:r w:rsidRPr="00A76818">
              <w:rPr>
                <w:rFonts w:ascii="Calibri" w:hAnsi="Calibri" w:cs="Calibri"/>
                <w:b w:val="0"/>
                <w:bCs w:val="0"/>
                <w:color w:val="000000" w:themeColor="text1"/>
              </w:rPr>
              <w:t>Lacking Resources and Support Network</w:t>
            </w:r>
          </w:p>
        </w:tc>
        <w:tc>
          <w:tcPr>
            <w:tcW w:w="1260" w:type="dxa"/>
          </w:tcPr>
          <w:p w14:paraId="729A02A3" w14:textId="77777777" w:rsidR="00DF0C3C" w:rsidRPr="000604EE"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0"/>
                <w:szCs w:val="21"/>
              </w:rPr>
            </w:pPr>
          </w:p>
        </w:tc>
        <w:tc>
          <w:tcPr>
            <w:tcW w:w="1440" w:type="dxa"/>
          </w:tcPr>
          <w:p w14:paraId="19641896" w14:textId="77777777" w:rsidR="00DF0C3C" w:rsidRPr="000604EE"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0"/>
                <w:szCs w:val="21"/>
              </w:rPr>
            </w:pPr>
          </w:p>
        </w:tc>
        <w:tc>
          <w:tcPr>
            <w:tcW w:w="1530" w:type="dxa"/>
          </w:tcPr>
          <w:p w14:paraId="300FDF3A" w14:textId="77777777" w:rsidR="00DF0C3C" w:rsidRPr="00A76818"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c>
          <w:tcPr>
            <w:tcW w:w="1800" w:type="dxa"/>
            <w:gridSpan w:val="2"/>
          </w:tcPr>
          <w:p w14:paraId="6BF37867" w14:textId="77777777" w:rsidR="00DF0C3C" w:rsidRPr="00A76818" w:rsidRDefault="00DF0C3C" w:rsidP="00DF0C3C">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r>
      <w:tr w:rsidR="00303879" w:rsidRPr="000604EE" w14:paraId="7555D007" w14:textId="77777777" w:rsidTr="00271B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35" w:type="dxa"/>
          </w:tcPr>
          <w:p w14:paraId="2F2486C2" w14:textId="77777777" w:rsidR="00303879" w:rsidRDefault="00303879" w:rsidP="00DF0C3C">
            <w:pPr>
              <w:contextualSpacing/>
              <w:rPr>
                <w:rFonts w:ascii="Calibri" w:hAnsi="Calibri" w:cs="Calibri"/>
                <w:b w:val="0"/>
                <w:bCs w:val="0"/>
                <w:color w:val="000000" w:themeColor="text1"/>
              </w:rPr>
            </w:pPr>
          </w:p>
          <w:p w14:paraId="74F36BDF" w14:textId="781A971F" w:rsidR="00303879" w:rsidRPr="00A76818" w:rsidRDefault="00303879" w:rsidP="00DF0C3C">
            <w:pPr>
              <w:contextualSpacing/>
              <w:rPr>
                <w:rFonts w:ascii="Calibri" w:hAnsi="Calibri" w:cs="Calibri"/>
                <w:color w:val="000000" w:themeColor="text1"/>
              </w:rPr>
            </w:pPr>
          </w:p>
        </w:tc>
        <w:tc>
          <w:tcPr>
            <w:tcW w:w="1260" w:type="dxa"/>
          </w:tcPr>
          <w:p w14:paraId="397E3BD4" w14:textId="77777777" w:rsidR="00303879" w:rsidRPr="000604EE" w:rsidRDefault="00303879"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0"/>
                <w:szCs w:val="21"/>
              </w:rPr>
            </w:pPr>
          </w:p>
        </w:tc>
        <w:tc>
          <w:tcPr>
            <w:tcW w:w="1440" w:type="dxa"/>
          </w:tcPr>
          <w:p w14:paraId="3ACA0A8F" w14:textId="77777777" w:rsidR="00303879" w:rsidRPr="000604EE" w:rsidRDefault="00303879"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0"/>
                <w:szCs w:val="21"/>
              </w:rPr>
            </w:pPr>
          </w:p>
        </w:tc>
        <w:tc>
          <w:tcPr>
            <w:tcW w:w="1530" w:type="dxa"/>
          </w:tcPr>
          <w:p w14:paraId="7403E1EB" w14:textId="77777777" w:rsidR="00303879" w:rsidRPr="00A76818" w:rsidRDefault="00303879"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c>
          <w:tcPr>
            <w:tcW w:w="1800" w:type="dxa"/>
            <w:gridSpan w:val="2"/>
          </w:tcPr>
          <w:p w14:paraId="53FEE9A2" w14:textId="77777777" w:rsidR="00303879" w:rsidRPr="00A76818" w:rsidRDefault="00303879" w:rsidP="00DF0C3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bl>
    <w:p w14:paraId="48926DE0" w14:textId="348DF468" w:rsidR="00DF0C3C" w:rsidRDefault="00DF0C3C" w:rsidP="00DF0C3C">
      <w:pPr>
        <w:contextualSpacing/>
        <w:rPr>
          <w:rFonts w:ascii="Calibri" w:hAnsi="Calibri" w:cs="Calibri"/>
          <w:color w:val="000000" w:themeColor="text1"/>
        </w:rPr>
      </w:pPr>
    </w:p>
    <w:p w14:paraId="601BC9DD" w14:textId="1E46DDF6" w:rsidR="00DF0C3C" w:rsidRPr="0058586C" w:rsidRDefault="00DF0C3C">
      <w:pPr>
        <w:pStyle w:val="Heading2"/>
        <w:numPr>
          <w:ilvl w:val="0"/>
          <w:numId w:val="55"/>
        </w:numPr>
        <w:spacing w:before="0" w:line="240" w:lineRule="auto"/>
        <w:ind w:left="900" w:hanging="270"/>
        <w:contextualSpacing/>
        <w:rPr>
          <w:color w:val="0070C0"/>
        </w:rPr>
      </w:pPr>
      <w:bookmarkStart w:id="146" w:name="_Toc124255053"/>
      <w:r w:rsidRPr="0058586C">
        <w:rPr>
          <w:color w:val="0070C0"/>
        </w:rPr>
        <w:t>Housing Requirements</w:t>
      </w:r>
      <w:bookmarkEnd w:id="146"/>
    </w:p>
    <w:p w14:paraId="3E66474A" w14:textId="77777777" w:rsidR="00DF0C3C" w:rsidRDefault="00DF0C3C">
      <w:pPr>
        <w:pStyle w:val="ListParagraph"/>
        <w:numPr>
          <w:ilvl w:val="0"/>
          <w:numId w:val="57"/>
        </w:numPr>
        <w:rPr>
          <w:rFonts w:ascii="Calibri" w:hAnsi="Calibri"/>
          <w:color w:val="000000" w:themeColor="text1"/>
        </w:rPr>
      </w:pPr>
      <w:r w:rsidRPr="00A76818">
        <w:rPr>
          <w:rFonts w:ascii="Calibri" w:hAnsi="Calibri"/>
          <w:color w:val="000000" w:themeColor="text1"/>
        </w:rPr>
        <w:t xml:space="preserve">Overview </w:t>
      </w:r>
    </w:p>
    <w:p w14:paraId="6B110FCA" w14:textId="77777777" w:rsidR="00DF0C3C" w:rsidRPr="00E16BCE" w:rsidRDefault="00DF0C3C">
      <w:pPr>
        <w:pStyle w:val="ListParagraph"/>
        <w:numPr>
          <w:ilvl w:val="2"/>
          <w:numId w:val="57"/>
        </w:numPr>
        <w:rPr>
          <w:rFonts w:ascii="Calibri" w:hAnsi="Calibri"/>
          <w:color w:val="000000" w:themeColor="text1"/>
        </w:rPr>
      </w:pPr>
      <w:r w:rsidRPr="00DF0C3C">
        <w:rPr>
          <w:rFonts w:ascii="Calibri" w:hAnsi="Calibri" w:cs="Calibri"/>
          <w:color w:val="000000" w:themeColor="text1"/>
        </w:rPr>
        <w:t xml:space="preserve">Service providers will approve households for the minimum amount of rental assistance necessary to prevent homelessness. Households shall not be approved for more rental assistance than </w:t>
      </w:r>
      <w:r w:rsidRPr="00E16BCE">
        <w:rPr>
          <w:rFonts w:ascii="Calibri" w:hAnsi="Calibri" w:cs="Calibri"/>
          <w:color w:val="000000" w:themeColor="text1"/>
        </w:rPr>
        <w:t>can be justified given their income and expenses at a given time.</w:t>
      </w:r>
      <w:r w:rsidRPr="00E16BCE">
        <w:rPr>
          <w:rFonts w:ascii="Calibri" w:hAnsi="Calibri"/>
          <w:color w:val="000000" w:themeColor="text1"/>
        </w:rPr>
        <w:t xml:space="preserve"> </w:t>
      </w:r>
    </w:p>
    <w:p w14:paraId="3EC1BB2D" w14:textId="21F8F51D" w:rsidR="00DF0C3C" w:rsidRPr="00E16BCE" w:rsidRDefault="00DF0C3C">
      <w:pPr>
        <w:pStyle w:val="ListParagraph"/>
        <w:numPr>
          <w:ilvl w:val="2"/>
          <w:numId w:val="57"/>
        </w:numPr>
        <w:rPr>
          <w:rFonts w:ascii="Calibri" w:hAnsi="Calibri"/>
          <w:color w:val="000000" w:themeColor="text1"/>
        </w:rPr>
      </w:pPr>
      <w:r w:rsidRPr="00E16BCE">
        <w:rPr>
          <w:rFonts w:ascii="Calibri" w:hAnsi="Calibri" w:cs="Calibri"/>
          <w:color w:val="000000" w:themeColor="text1"/>
        </w:rPr>
        <w:t>All RRH and HP units must also comply with the “Housing Requirements”.</w:t>
      </w:r>
    </w:p>
    <w:p w14:paraId="3CA8A5A9" w14:textId="27529C1E" w:rsidR="00DF0C3C" w:rsidRPr="00303879" w:rsidRDefault="00DF0C3C">
      <w:pPr>
        <w:pStyle w:val="ListParagraph"/>
        <w:numPr>
          <w:ilvl w:val="0"/>
          <w:numId w:val="57"/>
        </w:numPr>
        <w:rPr>
          <w:rFonts w:ascii="Calibri" w:hAnsi="Calibri"/>
          <w:color w:val="000000" w:themeColor="text1"/>
        </w:rPr>
      </w:pPr>
      <w:r w:rsidRPr="00E16BCE">
        <w:rPr>
          <w:rFonts w:ascii="Calibri" w:hAnsi="Calibri" w:cs="Calibri"/>
          <w:color w:val="000000" w:themeColor="text1"/>
        </w:rPr>
        <w:t>Requirements for Rental Assistance</w:t>
      </w:r>
    </w:p>
    <w:p w14:paraId="273BE3FF" w14:textId="2A947519" w:rsidR="00303879" w:rsidRDefault="00303879" w:rsidP="00303879">
      <w:pPr>
        <w:rPr>
          <w:rFonts w:ascii="Calibri" w:hAnsi="Calibri"/>
          <w:color w:val="000000" w:themeColor="text1"/>
        </w:rPr>
      </w:pPr>
    </w:p>
    <w:p w14:paraId="1C5D04B8" w14:textId="378AC902" w:rsidR="00303879" w:rsidRDefault="00303879" w:rsidP="00303879">
      <w:pPr>
        <w:rPr>
          <w:rFonts w:ascii="Calibri" w:hAnsi="Calibri"/>
          <w:color w:val="000000" w:themeColor="text1"/>
        </w:rPr>
      </w:pPr>
    </w:p>
    <w:p w14:paraId="624E141C" w14:textId="686673D3" w:rsidR="00303879" w:rsidRDefault="00303879" w:rsidP="00303879">
      <w:pPr>
        <w:rPr>
          <w:rFonts w:ascii="Calibri" w:hAnsi="Calibri"/>
          <w:color w:val="000000" w:themeColor="text1"/>
        </w:rPr>
      </w:pPr>
    </w:p>
    <w:p w14:paraId="3D7656F2" w14:textId="77777777" w:rsidR="00303879" w:rsidRPr="00303879" w:rsidRDefault="00303879" w:rsidP="00303879">
      <w:pPr>
        <w:rPr>
          <w:rFonts w:ascii="Calibri" w:hAnsi="Calibri"/>
          <w:color w:val="000000" w:themeColor="text1"/>
        </w:rPr>
      </w:pPr>
    </w:p>
    <w:p w14:paraId="068ED422" w14:textId="77777777" w:rsidR="00DF0C3C" w:rsidRPr="00DF0C3C" w:rsidRDefault="00DF0C3C" w:rsidP="00DF0C3C">
      <w:pPr>
        <w:rPr>
          <w:rFonts w:ascii="Calibri" w:hAnsi="Calibri"/>
          <w:color w:val="000000" w:themeColor="text1"/>
        </w:rPr>
      </w:pPr>
    </w:p>
    <w:tbl>
      <w:tblPr>
        <w:tblStyle w:val="GridTable4-Accent1"/>
        <w:tblW w:w="13590" w:type="dxa"/>
        <w:tblInd w:w="-545" w:type="dxa"/>
        <w:tblLook w:val="04A0" w:firstRow="1" w:lastRow="0" w:firstColumn="1" w:lastColumn="0" w:noHBand="0" w:noVBand="1"/>
      </w:tblPr>
      <w:tblGrid>
        <w:gridCol w:w="2321"/>
        <w:gridCol w:w="5959"/>
        <w:gridCol w:w="5310"/>
      </w:tblGrid>
      <w:tr w:rsidR="00A81B74" w:rsidRPr="00A76818" w14:paraId="26B3DFE5" w14:textId="77777777" w:rsidTr="00271B9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90" w:type="dxa"/>
            <w:gridSpan w:val="3"/>
          </w:tcPr>
          <w:p w14:paraId="7F7E2DE6" w14:textId="77777777" w:rsidR="00A81B74" w:rsidRPr="00A76818" w:rsidRDefault="00A81B74" w:rsidP="00585009">
            <w:pPr>
              <w:contextualSpacing/>
              <w:rPr>
                <w:rFonts w:ascii="Calibri" w:hAnsi="Calibri" w:cs="Calibri"/>
                <w:b w:val="0"/>
                <w:bCs w:val="0"/>
                <w:color w:val="000000" w:themeColor="text1"/>
              </w:rPr>
            </w:pPr>
            <w:r w:rsidRPr="00A76818">
              <w:rPr>
                <w:rFonts w:ascii="Calibri" w:hAnsi="Calibri" w:cs="Calibri"/>
                <w:b w:val="0"/>
                <w:bCs w:val="0"/>
                <w:color w:val="000000" w:themeColor="text1"/>
              </w:rPr>
              <w:lastRenderedPageBreak/>
              <w:t>Summary of RRH Rental Assistance Requirements</w:t>
            </w:r>
          </w:p>
        </w:tc>
      </w:tr>
      <w:tr w:rsidR="00A81B74" w:rsidRPr="00A76818" w14:paraId="79960BD1" w14:textId="77777777" w:rsidTr="00271B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21" w:type="dxa"/>
          </w:tcPr>
          <w:p w14:paraId="5DA11A19" w14:textId="77777777" w:rsidR="00A81B74" w:rsidRPr="00A76818" w:rsidRDefault="00A81B74" w:rsidP="00585009">
            <w:pPr>
              <w:contextualSpacing/>
              <w:rPr>
                <w:rFonts w:ascii="Calibri" w:hAnsi="Calibri"/>
                <w:b w:val="0"/>
                <w:bCs w:val="0"/>
                <w:color w:val="000000" w:themeColor="text1"/>
              </w:rPr>
            </w:pPr>
          </w:p>
        </w:tc>
        <w:tc>
          <w:tcPr>
            <w:tcW w:w="5959" w:type="dxa"/>
          </w:tcPr>
          <w:p w14:paraId="08731CFC" w14:textId="77777777" w:rsidR="00A81B74" w:rsidRPr="00A76818" w:rsidRDefault="00A81B74"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ESG-RRH Rental Assistance</w:t>
            </w:r>
          </w:p>
        </w:tc>
        <w:tc>
          <w:tcPr>
            <w:tcW w:w="5310" w:type="dxa"/>
          </w:tcPr>
          <w:p w14:paraId="432B923D" w14:textId="77777777" w:rsidR="00A81B74" w:rsidRPr="00A76818" w:rsidRDefault="00A81B74"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CoC-RRH Rental Assistance</w:t>
            </w:r>
          </w:p>
        </w:tc>
      </w:tr>
      <w:tr w:rsidR="00A81B74" w:rsidRPr="00A76818" w14:paraId="015A286A" w14:textId="77777777" w:rsidTr="00271B9B">
        <w:trPr>
          <w:trHeight w:val="20"/>
        </w:trPr>
        <w:tc>
          <w:tcPr>
            <w:tcW w:w="2321" w:type="dxa"/>
          </w:tcPr>
          <w:p w14:paraId="0C505314" w14:textId="77777777" w:rsidR="00A81B74" w:rsidRPr="00A76818" w:rsidRDefault="00A81B74" w:rsidP="00585009">
            <w:pPr>
              <w:contextualSpacing/>
              <w:cnfStyle w:val="001000000000" w:firstRow="0" w:lastRow="0" w:firstColumn="1" w:lastColumn="0" w:oddVBand="0" w:evenVBand="0" w:oddHBand="0" w:evenHBand="0" w:firstRowFirstColumn="0" w:firstRowLastColumn="0" w:lastRowFirstColumn="0" w:lastRowLastColumn="0"/>
              <w:rPr>
                <w:rFonts w:ascii="Calibri" w:hAnsi="Calibri" w:cs="Calibri"/>
                <w:b w:val="0"/>
                <w:bCs w:val="0"/>
                <w:color w:val="000000" w:themeColor="text1"/>
              </w:rPr>
            </w:pPr>
            <w:r w:rsidRPr="00A76818">
              <w:rPr>
                <w:rFonts w:ascii="Calibri" w:hAnsi="Calibri" w:cs="Calibri"/>
                <w:b w:val="0"/>
                <w:bCs w:val="0"/>
                <w:color w:val="000000" w:themeColor="text1"/>
              </w:rPr>
              <w:t>Housing Standards</w:t>
            </w:r>
          </w:p>
        </w:tc>
        <w:tc>
          <w:tcPr>
            <w:tcW w:w="5959" w:type="dxa"/>
          </w:tcPr>
          <w:p w14:paraId="008FED60" w14:textId="77777777" w:rsidR="00A81B74" w:rsidRPr="00A76818" w:rsidRDefault="00A81B74" w:rsidP="00585009">
            <w:pPr>
              <w:contextualSpacing/>
              <w:rPr>
                <w:rFonts w:ascii="Calibri" w:hAnsi="Calibri" w:cs="Calibri"/>
                <w:color w:val="000000" w:themeColor="text1"/>
              </w:rPr>
            </w:pPr>
            <w:r w:rsidRPr="00A76818">
              <w:rPr>
                <w:rFonts w:ascii="Calibri" w:hAnsi="Calibri" w:cs="Calibri"/>
                <w:color w:val="000000" w:themeColor="text1"/>
              </w:rPr>
              <w:t>Units must pass HUD Habitability Standards</w:t>
            </w:r>
            <w:r w:rsidRPr="00A76818">
              <w:rPr>
                <w:rStyle w:val="FootnoteReference"/>
                <w:rFonts w:ascii="Calibri" w:hAnsi="Calibri" w:cs="Calibri"/>
                <w:color w:val="000000" w:themeColor="text1"/>
              </w:rPr>
              <w:footnoteReference w:id="8"/>
            </w:r>
            <w:r w:rsidRPr="00A76818">
              <w:rPr>
                <w:rFonts w:ascii="Calibri" w:hAnsi="Calibri" w:cs="Calibri"/>
                <w:color w:val="000000" w:themeColor="text1"/>
              </w:rPr>
              <w:t xml:space="preserve"> </w:t>
            </w:r>
          </w:p>
        </w:tc>
        <w:tc>
          <w:tcPr>
            <w:tcW w:w="5310" w:type="dxa"/>
          </w:tcPr>
          <w:p w14:paraId="2C923DD0" w14:textId="77777777" w:rsidR="00A81B74" w:rsidRPr="00A76818" w:rsidRDefault="00A81B74" w:rsidP="00585009">
            <w:pPr>
              <w:contextualSpacing/>
              <w:rPr>
                <w:rFonts w:ascii="Calibri" w:hAnsi="Calibri" w:cs="Calibri"/>
                <w:color w:val="000000" w:themeColor="text1"/>
              </w:rPr>
            </w:pPr>
            <w:r w:rsidRPr="00A76818">
              <w:rPr>
                <w:rFonts w:ascii="Calibri" w:hAnsi="Calibri" w:cs="Calibri"/>
                <w:color w:val="000000" w:themeColor="text1"/>
              </w:rPr>
              <w:t>Units must meet HUD Housing Quality Standards</w:t>
            </w:r>
            <w:r w:rsidRPr="00A76818">
              <w:rPr>
                <w:rStyle w:val="FootnoteReference"/>
                <w:rFonts w:ascii="Calibri" w:hAnsi="Calibri" w:cs="Calibri"/>
                <w:color w:val="000000" w:themeColor="text1"/>
              </w:rPr>
              <w:footnoteReference w:id="9"/>
            </w:r>
            <w:r w:rsidRPr="00A76818">
              <w:rPr>
                <w:rFonts w:ascii="Calibri" w:hAnsi="Calibri" w:cs="Calibri"/>
                <w:color w:val="000000" w:themeColor="text1"/>
              </w:rPr>
              <w:t xml:space="preserve"> </w:t>
            </w:r>
          </w:p>
        </w:tc>
      </w:tr>
      <w:tr w:rsidR="00A81B74" w:rsidRPr="00A76818" w14:paraId="01A3475B" w14:textId="77777777" w:rsidTr="00271B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21" w:type="dxa"/>
          </w:tcPr>
          <w:p w14:paraId="27762BA5" w14:textId="1993456B" w:rsidR="00A81B74" w:rsidRPr="003D267D" w:rsidRDefault="00A81B74" w:rsidP="00585009">
            <w:pPr>
              <w:contextualSpacing/>
              <w:rPr>
                <w:rFonts w:ascii="Calibri" w:hAnsi="Calibri" w:cs="Calibri"/>
                <w:b w:val="0"/>
                <w:bCs w:val="0"/>
                <w:color w:val="000000" w:themeColor="text1"/>
              </w:rPr>
            </w:pPr>
            <w:r w:rsidRPr="00A76818">
              <w:rPr>
                <w:rFonts w:ascii="Calibri" w:hAnsi="Calibri" w:cs="Calibri"/>
                <w:b w:val="0"/>
                <w:bCs w:val="0"/>
                <w:color w:val="000000" w:themeColor="text1"/>
              </w:rPr>
              <w:t>Fair Market Rent (FMR)</w:t>
            </w:r>
          </w:p>
        </w:tc>
        <w:tc>
          <w:tcPr>
            <w:tcW w:w="5959" w:type="dxa"/>
          </w:tcPr>
          <w:p w14:paraId="7B75151B" w14:textId="77777777" w:rsidR="00A81B74" w:rsidRPr="00A76818" w:rsidRDefault="00A81B74"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Rental assistance may cover up to the FMR for a unit </w:t>
            </w:r>
          </w:p>
        </w:tc>
        <w:tc>
          <w:tcPr>
            <w:tcW w:w="5310" w:type="dxa"/>
          </w:tcPr>
          <w:p w14:paraId="55B7A78A" w14:textId="77777777" w:rsidR="00A81B74" w:rsidRPr="00A76818" w:rsidRDefault="00A81B74"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Rent reasonableness is the applicable rent standard</w:t>
            </w:r>
          </w:p>
        </w:tc>
      </w:tr>
      <w:tr w:rsidR="00A81B74" w:rsidRPr="00A76818" w14:paraId="4A683521" w14:textId="77777777" w:rsidTr="00271B9B">
        <w:trPr>
          <w:trHeight w:val="593"/>
        </w:trPr>
        <w:tc>
          <w:tcPr>
            <w:cnfStyle w:val="001000000000" w:firstRow="0" w:lastRow="0" w:firstColumn="1" w:lastColumn="0" w:oddVBand="0" w:evenVBand="0" w:oddHBand="0" w:evenHBand="0" w:firstRowFirstColumn="0" w:firstRowLastColumn="0" w:lastRowFirstColumn="0" w:lastRowLastColumn="0"/>
            <w:tcW w:w="2321" w:type="dxa"/>
          </w:tcPr>
          <w:p w14:paraId="6FF528F3" w14:textId="77777777" w:rsidR="00A81B74" w:rsidRPr="00A76818" w:rsidRDefault="00A81B74" w:rsidP="00585009">
            <w:pPr>
              <w:contextualSpacing/>
              <w:rPr>
                <w:rFonts w:ascii="Calibri" w:hAnsi="Calibri" w:cs="Calibri"/>
                <w:b w:val="0"/>
                <w:bCs w:val="0"/>
                <w:color w:val="000000" w:themeColor="text1"/>
              </w:rPr>
            </w:pPr>
            <w:r w:rsidRPr="00A76818">
              <w:rPr>
                <w:rFonts w:ascii="Calibri" w:hAnsi="Calibri" w:cs="Calibri"/>
                <w:b w:val="0"/>
                <w:bCs w:val="0"/>
                <w:color w:val="000000" w:themeColor="text1"/>
              </w:rPr>
              <w:t>Rent Reasonableness</w:t>
            </w:r>
          </w:p>
        </w:tc>
        <w:tc>
          <w:tcPr>
            <w:tcW w:w="5959" w:type="dxa"/>
          </w:tcPr>
          <w:p w14:paraId="2B30E9A4" w14:textId="77777777" w:rsidR="00A81B74" w:rsidRPr="00A76818" w:rsidRDefault="00A81B74"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Units must comply with HUD’s rent reasonableness standards</w:t>
            </w:r>
          </w:p>
        </w:tc>
        <w:tc>
          <w:tcPr>
            <w:tcW w:w="5310" w:type="dxa"/>
          </w:tcPr>
          <w:p w14:paraId="60557B4D" w14:textId="41DAEB3E" w:rsidR="00A81B74" w:rsidRPr="003D267D" w:rsidRDefault="00A81B74"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Units in a structure must comply with HUD’s rent reasonableness standards</w:t>
            </w:r>
          </w:p>
        </w:tc>
      </w:tr>
      <w:tr w:rsidR="00A81B74" w:rsidRPr="00A76818" w14:paraId="6722E761" w14:textId="77777777" w:rsidTr="00271B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21" w:type="dxa"/>
          </w:tcPr>
          <w:p w14:paraId="1ACB0C01" w14:textId="77777777" w:rsidR="00A81B74" w:rsidRPr="00A76818" w:rsidRDefault="00A81B74" w:rsidP="00585009">
            <w:pPr>
              <w:contextualSpacing/>
              <w:rPr>
                <w:rFonts w:ascii="Calibri" w:hAnsi="Calibri" w:cs="Calibri"/>
                <w:b w:val="0"/>
                <w:bCs w:val="0"/>
                <w:color w:val="000000" w:themeColor="text1"/>
              </w:rPr>
            </w:pPr>
            <w:r w:rsidRPr="00A76818">
              <w:rPr>
                <w:rFonts w:ascii="Calibri" w:hAnsi="Calibri" w:cs="Calibri"/>
                <w:b w:val="0"/>
                <w:bCs w:val="0"/>
                <w:color w:val="000000" w:themeColor="text1"/>
              </w:rPr>
              <w:t>Lease Requirements</w:t>
            </w:r>
          </w:p>
          <w:p w14:paraId="7A98541B" w14:textId="77777777" w:rsidR="00A81B74" w:rsidRPr="00A76818" w:rsidRDefault="00A81B74" w:rsidP="00585009">
            <w:pPr>
              <w:contextualSpacing/>
              <w:rPr>
                <w:rFonts w:ascii="Calibri" w:hAnsi="Calibri"/>
                <w:b w:val="0"/>
                <w:bCs w:val="0"/>
                <w:color w:val="000000" w:themeColor="text1"/>
              </w:rPr>
            </w:pPr>
          </w:p>
        </w:tc>
        <w:tc>
          <w:tcPr>
            <w:tcW w:w="5959" w:type="dxa"/>
          </w:tcPr>
          <w:p w14:paraId="40DF9688" w14:textId="77777777" w:rsidR="00A81B74" w:rsidRPr="00A76818" w:rsidRDefault="00A81B74">
            <w:pPr>
              <w:pStyle w:val="ListParagraph"/>
              <w:numPr>
                <w:ilvl w:val="0"/>
                <w:numId w:val="3"/>
              </w:numPr>
              <w:ind w:left="98" w:hanging="18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76818">
              <w:rPr>
                <w:rFonts w:ascii="Calibri" w:hAnsi="Calibri"/>
                <w:color w:val="000000" w:themeColor="text1"/>
              </w:rPr>
              <w:t>A written lease between the owner and the household is required for TBRA and PBRA.</w:t>
            </w:r>
          </w:p>
          <w:p w14:paraId="5C9EA9A9" w14:textId="77777777" w:rsidR="00A81B74" w:rsidRPr="00A76818" w:rsidRDefault="00A81B74">
            <w:pPr>
              <w:pStyle w:val="ListParagraph"/>
              <w:numPr>
                <w:ilvl w:val="0"/>
                <w:numId w:val="3"/>
              </w:numPr>
              <w:ind w:left="98" w:hanging="18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76818">
              <w:rPr>
                <w:rFonts w:ascii="Calibri" w:hAnsi="Calibri"/>
                <w:color w:val="000000" w:themeColor="text1"/>
              </w:rPr>
              <w:t>For households living in housing with PBRA, the lease must have an initial term of one year. There is no minimum lease period for TBRA.</w:t>
            </w:r>
          </w:p>
          <w:p w14:paraId="4DDF9275" w14:textId="77777777" w:rsidR="00A81B74" w:rsidRPr="00A76818" w:rsidRDefault="00A81B74">
            <w:pPr>
              <w:pStyle w:val="ListParagraph"/>
              <w:numPr>
                <w:ilvl w:val="0"/>
                <w:numId w:val="3"/>
              </w:numPr>
              <w:ind w:left="98" w:hanging="18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76818">
              <w:rPr>
                <w:rFonts w:ascii="Calibri" w:hAnsi="Calibri"/>
                <w:color w:val="000000" w:themeColor="text1"/>
              </w:rPr>
              <w:t>The only exception to the written lease requirement is in the case of rental assistance provided solely for rental arrears.</w:t>
            </w:r>
          </w:p>
        </w:tc>
        <w:tc>
          <w:tcPr>
            <w:tcW w:w="5310" w:type="dxa"/>
          </w:tcPr>
          <w:p w14:paraId="15027915" w14:textId="77777777" w:rsidR="00A81B74" w:rsidRPr="00A76818" w:rsidRDefault="00A81B74"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Households receiving TBRA must sign a lease of at least one year that is renewable (for a minimum term of one month) and terminable only for cause.</w:t>
            </w:r>
          </w:p>
          <w:p w14:paraId="1AEBE7A8" w14:textId="77777777" w:rsidR="00A81B74" w:rsidRPr="00A76818" w:rsidRDefault="00A81B74"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r>
    </w:tbl>
    <w:p w14:paraId="41135BCA" w14:textId="1EA3F066" w:rsidR="00A81B74" w:rsidRDefault="00A81B74" w:rsidP="00A81B74">
      <w:pPr>
        <w:contextualSpacing/>
        <w:rPr>
          <w:rFonts w:ascii="Calibri" w:hAnsi="Calibri" w:cs="Calibri"/>
          <w:color w:val="000000" w:themeColor="text1"/>
        </w:rPr>
      </w:pPr>
    </w:p>
    <w:p w14:paraId="7A89DF3D" w14:textId="66B9AB74" w:rsidR="00DF0C3C" w:rsidRPr="00DF0C3C" w:rsidRDefault="00DF0C3C">
      <w:pPr>
        <w:pStyle w:val="ListParagraph"/>
        <w:numPr>
          <w:ilvl w:val="0"/>
          <w:numId w:val="57"/>
        </w:numPr>
        <w:rPr>
          <w:rFonts w:ascii="Calibri" w:hAnsi="Calibri"/>
          <w:color w:val="000000" w:themeColor="text1"/>
        </w:rPr>
      </w:pPr>
      <w:r w:rsidRPr="00DF0C3C">
        <w:rPr>
          <w:rFonts w:ascii="Calibri" w:hAnsi="Calibri" w:cs="Calibri"/>
          <w:color w:val="000000" w:themeColor="text1"/>
        </w:rPr>
        <w:t>Household Contribution</w:t>
      </w:r>
    </w:p>
    <w:p w14:paraId="7BF3744D" w14:textId="2C1A2568" w:rsidR="00DF0C3C" w:rsidRPr="00DF0C3C" w:rsidRDefault="00DF0C3C">
      <w:pPr>
        <w:pStyle w:val="ListParagraph"/>
        <w:numPr>
          <w:ilvl w:val="2"/>
          <w:numId w:val="57"/>
        </w:numPr>
        <w:rPr>
          <w:rFonts w:ascii="Calibri" w:hAnsi="Calibri"/>
          <w:color w:val="000000" w:themeColor="text1"/>
        </w:rPr>
      </w:pPr>
      <w:r w:rsidRPr="00DF0C3C">
        <w:rPr>
          <w:rFonts w:ascii="Calibri" w:hAnsi="Calibri" w:cs="Calibri"/>
          <w:color w:val="000000" w:themeColor="text1"/>
        </w:rPr>
        <w:t>Income Assessment</w:t>
      </w:r>
    </w:p>
    <w:p w14:paraId="0219C7C0" w14:textId="25EC6957" w:rsidR="00DF0C3C" w:rsidRPr="00DF0C3C" w:rsidRDefault="00DF0C3C">
      <w:pPr>
        <w:pStyle w:val="ListParagraph"/>
        <w:numPr>
          <w:ilvl w:val="3"/>
          <w:numId w:val="57"/>
        </w:numPr>
        <w:rPr>
          <w:rFonts w:ascii="Calibri" w:hAnsi="Calibri"/>
          <w:color w:val="000000" w:themeColor="text1"/>
        </w:rPr>
      </w:pPr>
      <w:r w:rsidRPr="00DF0C3C">
        <w:rPr>
          <w:rFonts w:ascii="Calibri" w:hAnsi="Calibri" w:cs="Calibri"/>
          <w:color w:val="000000" w:themeColor="text1"/>
        </w:rPr>
        <w:t>When determining the annual income of a household to establish eligibility for ESG assistance, the service provider must count the income of all adults in the household, including nonrelated individuals.</w:t>
      </w:r>
    </w:p>
    <w:p w14:paraId="7991EFF1" w14:textId="4DEC1A59" w:rsidR="00DF0C3C" w:rsidRPr="00DF0C3C" w:rsidRDefault="00DF0C3C">
      <w:pPr>
        <w:pStyle w:val="ListParagraph"/>
        <w:numPr>
          <w:ilvl w:val="4"/>
          <w:numId w:val="57"/>
        </w:numPr>
        <w:rPr>
          <w:rFonts w:ascii="Calibri" w:hAnsi="Calibri"/>
          <w:color w:val="000000" w:themeColor="text1"/>
        </w:rPr>
      </w:pPr>
      <w:r w:rsidRPr="00DF0C3C">
        <w:rPr>
          <w:rFonts w:ascii="Calibri" w:hAnsi="Calibri" w:cs="Calibri"/>
          <w:color w:val="000000" w:themeColor="text1"/>
        </w:rPr>
        <w:t>Not everyone living in the unit is considered a member of the household for the purposes of determining a household’s income.</w:t>
      </w:r>
    </w:p>
    <w:p w14:paraId="75BBACF6" w14:textId="20F53B7F" w:rsidR="00DF0C3C" w:rsidRPr="00DF0C3C" w:rsidRDefault="00DF0C3C">
      <w:pPr>
        <w:pStyle w:val="ListParagraph"/>
        <w:numPr>
          <w:ilvl w:val="4"/>
          <w:numId w:val="57"/>
        </w:numPr>
        <w:rPr>
          <w:rFonts w:ascii="Calibri" w:hAnsi="Calibri"/>
          <w:color w:val="000000" w:themeColor="text1"/>
        </w:rPr>
      </w:pPr>
      <w:r w:rsidRPr="00DF0C3C">
        <w:rPr>
          <w:rFonts w:ascii="Calibri" w:hAnsi="Calibri" w:cs="Calibri"/>
          <w:color w:val="000000" w:themeColor="text1"/>
        </w:rPr>
        <w:t xml:space="preserve">Excluded persons </w:t>
      </w:r>
      <w:proofErr w:type="gramStart"/>
      <w:r w:rsidRPr="00DF0C3C">
        <w:rPr>
          <w:rFonts w:ascii="Calibri" w:hAnsi="Calibri" w:cs="Calibri"/>
          <w:color w:val="000000" w:themeColor="text1"/>
        </w:rPr>
        <w:t>include:</w:t>
      </w:r>
      <w:proofErr w:type="gramEnd"/>
      <w:r w:rsidRPr="00DF0C3C">
        <w:rPr>
          <w:rFonts w:ascii="Calibri" w:hAnsi="Calibri" w:cs="Calibri"/>
          <w:color w:val="000000" w:themeColor="text1"/>
        </w:rPr>
        <w:t xml:space="preserve"> foster children, foster adults, live-in aides, children of live-in aides and unborn children.</w:t>
      </w:r>
    </w:p>
    <w:p w14:paraId="7AF8449C" w14:textId="44E64894" w:rsidR="00DF0C3C" w:rsidRPr="00DF0C3C" w:rsidRDefault="00DF0C3C">
      <w:pPr>
        <w:pStyle w:val="ListParagraph"/>
        <w:numPr>
          <w:ilvl w:val="4"/>
          <w:numId w:val="57"/>
        </w:numPr>
        <w:rPr>
          <w:rFonts w:ascii="Calibri" w:hAnsi="Calibri"/>
          <w:color w:val="000000" w:themeColor="text1"/>
        </w:rPr>
      </w:pPr>
      <w:r w:rsidRPr="00DF0C3C">
        <w:rPr>
          <w:rFonts w:ascii="Calibri" w:hAnsi="Calibri" w:cs="Calibri"/>
          <w:color w:val="000000" w:themeColor="text1"/>
        </w:rPr>
        <w:t>A person subject to shared-custody agreement should be counted as household member if the child resides with the household at least 50% of the time.</w:t>
      </w:r>
    </w:p>
    <w:p w14:paraId="517B3AD8" w14:textId="1AF1C03E" w:rsidR="00DF0C3C" w:rsidRPr="00DF0C3C" w:rsidRDefault="00DF0C3C">
      <w:pPr>
        <w:pStyle w:val="ListParagraph"/>
        <w:numPr>
          <w:ilvl w:val="3"/>
          <w:numId w:val="57"/>
        </w:numPr>
        <w:rPr>
          <w:rFonts w:ascii="Calibri" w:hAnsi="Calibri"/>
          <w:color w:val="000000" w:themeColor="text1"/>
        </w:rPr>
      </w:pPr>
      <w:r w:rsidRPr="00DF0C3C">
        <w:rPr>
          <w:rFonts w:ascii="Calibri" w:hAnsi="Calibri" w:cs="Calibri"/>
          <w:color w:val="000000" w:themeColor="text1"/>
        </w:rPr>
        <w:t>Annual income is the gross amount of income anticipated to be received by a household during the coming year based on the household’s circumstances at the time of program assessment.</w:t>
      </w:r>
    </w:p>
    <w:p w14:paraId="4768BC33" w14:textId="1DFE8E63" w:rsidR="00DF0C3C" w:rsidRPr="00DF0C3C" w:rsidRDefault="00DF0C3C">
      <w:pPr>
        <w:pStyle w:val="ListParagraph"/>
        <w:numPr>
          <w:ilvl w:val="3"/>
          <w:numId w:val="57"/>
        </w:numPr>
        <w:rPr>
          <w:rFonts w:ascii="Calibri" w:hAnsi="Calibri"/>
          <w:color w:val="000000" w:themeColor="text1"/>
        </w:rPr>
      </w:pPr>
      <w:r w:rsidRPr="00DF0C3C">
        <w:rPr>
          <w:rFonts w:ascii="Calibri" w:hAnsi="Calibri" w:cs="Calibri"/>
          <w:color w:val="000000" w:themeColor="text1"/>
        </w:rPr>
        <w:t>Income generated by an asset, such as the interest on savings or checking account is considered household income even if the household elects not to receive it.</w:t>
      </w:r>
    </w:p>
    <w:p w14:paraId="49A9304D" w14:textId="51FC842D" w:rsidR="00DF0C3C" w:rsidRPr="00DF0C3C" w:rsidRDefault="00DF0C3C">
      <w:pPr>
        <w:pStyle w:val="ListParagraph"/>
        <w:numPr>
          <w:ilvl w:val="4"/>
          <w:numId w:val="57"/>
        </w:numPr>
        <w:rPr>
          <w:rFonts w:ascii="Calibri" w:hAnsi="Calibri"/>
          <w:color w:val="000000" w:themeColor="text1"/>
        </w:rPr>
      </w:pPr>
      <w:r w:rsidRPr="00DF0C3C">
        <w:rPr>
          <w:rFonts w:ascii="Calibri" w:hAnsi="Calibri" w:cs="Calibri"/>
          <w:color w:val="000000" w:themeColor="text1"/>
        </w:rPr>
        <w:lastRenderedPageBreak/>
        <w:t>For example, though an applicant may elect to reinvest the interest or dividends from an asset, the interest or dividends are still counted as income anticipated to be received during the coming 12 months.</w:t>
      </w:r>
    </w:p>
    <w:p w14:paraId="5F67A5E3" w14:textId="1FBC1E72" w:rsidR="00DF0C3C" w:rsidRPr="00DF0C3C" w:rsidRDefault="00DF0C3C">
      <w:pPr>
        <w:pStyle w:val="ListParagraph"/>
        <w:numPr>
          <w:ilvl w:val="4"/>
          <w:numId w:val="57"/>
        </w:numPr>
        <w:rPr>
          <w:rFonts w:ascii="Calibri" w:hAnsi="Calibri"/>
          <w:color w:val="000000" w:themeColor="text1"/>
        </w:rPr>
      </w:pPr>
      <w:r w:rsidRPr="00DF0C3C">
        <w:rPr>
          <w:rFonts w:ascii="Calibri" w:hAnsi="Calibri" w:cs="Calibri"/>
          <w:color w:val="000000" w:themeColor="text1"/>
        </w:rPr>
        <w:t xml:space="preserve">Income producing assets </w:t>
      </w:r>
      <w:proofErr w:type="gramStart"/>
      <w:r w:rsidRPr="00DF0C3C">
        <w:rPr>
          <w:rFonts w:ascii="Calibri" w:hAnsi="Calibri" w:cs="Calibri"/>
          <w:color w:val="000000" w:themeColor="text1"/>
        </w:rPr>
        <w:t>include:</w:t>
      </w:r>
      <w:proofErr w:type="gramEnd"/>
      <w:r w:rsidRPr="00DF0C3C">
        <w:rPr>
          <w:rFonts w:ascii="Calibri" w:hAnsi="Calibri" w:cs="Calibri"/>
          <w:color w:val="000000" w:themeColor="text1"/>
        </w:rPr>
        <w:t xml:space="preserve"> bank accounts; life insurance policies; lump sum additions (legal settlement, refund, etc.); personal property held as investments; retirement/pension funds; trusts; assets disposed of for less than fair market value; and stocks; bonds or mutual funds.</w:t>
      </w:r>
    </w:p>
    <w:p w14:paraId="0EE8B124" w14:textId="0AB6985E" w:rsidR="00DF0C3C" w:rsidRPr="00DF0C3C" w:rsidRDefault="00DF0C3C">
      <w:pPr>
        <w:pStyle w:val="ListParagraph"/>
        <w:numPr>
          <w:ilvl w:val="3"/>
          <w:numId w:val="57"/>
        </w:numPr>
        <w:rPr>
          <w:rFonts w:ascii="Calibri" w:hAnsi="Calibri"/>
          <w:color w:val="000000" w:themeColor="text1"/>
        </w:rPr>
      </w:pPr>
      <w:r w:rsidRPr="00DF0C3C">
        <w:rPr>
          <w:rFonts w:ascii="Calibri" w:hAnsi="Calibri" w:cs="Calibri"/>
          <w:color w:val="000000" w:themeColor="text1"/>
        </w:rPr>
        <w:t xml:space="preserve">HUD provides an Income Eligibility Calculator at </w:t>
      </w:r>
      <w:hyperlink r:id="rId25">
        <w:r w:rsidRPr="00DF0C3C">
          <w:rPr>
            <w:rFonts w:ascii="Calibri" w:hAnsi="Calibri" w:cs="Calibri"/>
            <w:color w:val="000000" w:themeColor="text1"/>
            <w:u w:val="single"/>
          </w:rPr>
          <w:t>https://www.hudexchange.info/incomecalculator/</w:t>
        </w:r>
      </w:hyperlink>
      <w:r w:rsidRPr="00DF0C3C">
        <w:rPr>
          <w:rFonts w:ascii="Calibri" w:hAnsi="Calibri" w:cs="Calibri"/>
          <w:color w:val="000000" w:themeColor="text1"/>
        </w:rPr>
        <w:t xml:space="preserve"> that can be used as a tool to calculate household contribution. Completion of this tool does not replace required documentation materials.</w:t>
      </w:r>
    </w:p>
    <w:p w14:paraId="19FFF7D0" w14:textId="18D624C1" w:rsidR="00DF0C3C" w:rsidRPr="00DF0C3C" w:rsidRDefault="00DF0C3C">
      <w:pPr>
        <w:pStyle w:val="ListParagraph"/>
        <w:numPr>
          <w:ilvl w:val="2"/>
          <w:numId w:val="57"/>
        </w:numPr>
        <w:rPr>
          <w:rFonts w:ascii="Calibri" w:hAnsi="Calibri"/>
          <w:color w:val="000000" w:themeColor="text1"/>
        </w:rPr>
      </w:pPr>
      <w:r w:rsidRPr="00DF0C3C">
        <w:rPr>
          <w:rFonts w:ascii="Calibri" w:hAnsi="Calibri" w:cs="Calibri"/>
          <w:color w:val="000000" w:themeColor="text1"/>
        </w:rPr>
        <w:t>After Assessment</w:t>
      </w:r>
    </w:p>
    <w:p w14:paraId="6A4CBE14" w14:textId="125B41EA" w:rsidR="00DF0C3C" w:rsidRPr="00DF0C3C" w:rsidRDefault="00DF0C3C">
      <w:pPr>
        <w:pStyle w:val="ListParagraph"/>
        <w:numPr>
          <w:ilvl w:val="3"/>
          <w:numId w:val="57"/>
        </w:numPr>
        <w:rPr>
          <w:rFonts w:ascii="Calibri" w:hAnsi="Calibri"/>
          <w:color w:val="000000" w:themeColor="text1"/>
        </w:rPr>
      </w:pPr>
      <w:r w:rsidRPr="00DF0C3C">
        <w:rPr>
          <w:rFonts w:ascii="Calibri" w:hAnsi="Calibri" w:cs="Calibri"/>
          <w:color w:val="000000" w:themeColor="text1"/>
          <w:u w:val="single"/>
        </w:rPr>
        <w:t>All Programs</w:t>
      </w:r>
      <w:r w:rsidRPr="00DF0C3C">
        <w:rPr>
          <w:rFonts w:ascii="Calibri" w:hAnsi="Calibri" w:cs="Calibri"/>
          <w:color w:val="000000" w:themeColor="text1"/>
        </w:rPr>
        <w:t xml:space="preserve"> Client will pay a percentage of their rent based on the service provider’s assessment of the household’s financial and family situation, with rental assistance decreasing monthly over time (schedule to be determined by the individual program).</w:t>
      </w:r>
    </w:p>
    <w:p w14:paraId="51FC6E4C" w14:textId="3A03347C" w:rsidR="00DF0C3C" w:rsidRPr="00DF0C3C" w:rsidRDefault="00DF0C3C">
      <w:pPr>
        <w:pStyle w:val="ListParagraph"/>
        <w:numPr>
          <w:ilvl w:val="4"/>
          <w:numId w:val="57"/>
        </w:numPr>
        <w:rPr>
          <w:rFonts w:ascii="Calibri" w:hAnsi="Calibri"/>
          <w:color w:val="000000" w:themeColor="text1"/>
        </w:rPr>
      </w:pPr>
      <w:r w:rsidRPr="00DF0C3C">
        <w:rPr>
          <w:rFonts w:ascii="Calibri" w:hAnsi="Calibri" w:cs="Calibri"/>
          <w:color w:val="000000" w:themeColor="text1"/>
        </w:rPr>
        <w:t>Initial assistance can be as much as 100% of rent.</w:t>
      </w:r>
    </w:p>
    <w:p w14:paraId="28014374" w14:textId="1AB7C1A2" w:rsidR="00DF0C3C" w:rsidRPr="00DF0C3C" w:rsidRDefault="00DF0C3C">
      <w:pPr>
        <w:pStyle w:val="ListParagraph"/>
        <w:numPr>
          <w:ilvl w:val="4"/>
          <w:numId w:val="57"/>
        </w:numPr>
        <w:rPr>
          <w:rFonts w:ascii="Calibri" w:hAnsi="Calibri"/>
          <w:color w:val="000000" w:themeColor="text1"/>
        </w:rPr>
      </w:pPr>
      <w:r w:rsidRPr="00DF0C3C">
        <w:rPr>
          <w:rFonts w:ascii="Calibri" w:hAnsi="Calibri" w:cs="Calibri"/>
          <w:color w:val="000000" w:themeColor="text1"/>
        </w:rPr>
        <w:t>Per HUD requirements, service providers are expected to provide hardship exemptions to any rental charges if such charges could lead to the loss of housing for the assisted household.</w:t>
      </w:r>
    </w:p>
    <w:p w14:paraId="124A4C4E" w14:textId="475DF83E" w:rsidR="00DF0C3C" w:rsidRPr="00DF0C3C" w:rsidRDefault="00DF0C3C" w:rsidP="00A81B74">
      <w:pPr>
        <w:contextualSpacing/>
        <w:rPr>
          <w:rFonts w:ascii="Calibri" w:hAnsi="Calibri" w:cs="Calibri"/>
          <w:color w:val="000000" w:themeColor="text1"/>
        </w:rPr>
      </w:pPr>
    </w:p>
    <w:p w14:paraId="0E12E534" w14:textId="5C078B11" w:rsidR="00856EE5" w:rsidRPr="0058586C" w:rsidRDefault="00856EE5">
      <w:pPr>
        <w:pStyle w:val="Heading2"/>
        <w:numPr>
          <w:ilvl w:val="0"/>
          <w:numId w:val="55"/>
        </w:numPr>
        <w:spacing w:before="0" w:line="240" w:lineRule="auto"/>
        <w:ind w:left="900" w:hanging="270"/>
        <w:contextualSpacing/>
        <w:rPr>
          <w:color w:val="0070C0"/>
        </w:rPr>
      </w:pPr>
      <w:bookmarkStart w:id="147" w:name="_Toc124255054"/>
      <w:r w:rsidRPr="0058586C">
        <w:rPr>
          <w:color w:val="0070C0"/>
        </w:rPr>
        <w:t>Service Requirements</w:t>
      </w:r>
      <w:bookmarkEnd w:id="147"/>
    </w:p>
    <w:p w14:paraId="05EFC147" w14:textId="77777777" w:rsidR="00856EE5" w:rsidRDefault="00856EE5">
      <w:pPr>
        <w:pStyle w:val="ListParagraph"/>
        <w:numPr>
          <w:ilvl w:val="0"/>
          <w:numId w:val="58"/>
        </w:numPr>
        <w:rPr>
          <w:rFonts w:ascii="Calibri" w:hAnsi="Calibri"/>
          <w:color w:val="000000" w:themeColor="text1"/>
        </w:rPr>
      </w:pPr>
      <w:r w:rsidRPr="00A76818">
        <w:rPr>
          <w:rFonts w:ascii="Calibri" w:hAnsi="Calibri"/>
          <w:color w:val="000000" w:themeColor="text1"/>
        </w:rPr>
        <w:t xml:space="preserve">Overview </w:t>
      </w:r>
    </w:p>
    <w:p w14:paraId="59D67BE9" w14:textId="7DCA7C8E" w:rsidR="00856EE5" w:rsidRPr="00856EE5" w:rsidRDefault="00856EE5">
      <w:pPr>
        <w:pStyle w:val="ListParagraph"/>
        <w:numPr>
          <w:ilvl w:val="2"/>
          <w:numId w:val="58"/>
        </w:numPr>
        <w:rPr>
          <w:rFonts w:ascii="Calibri" w:hAnsi="Calibri"/>
          <w:color w:val="000000" w:themeColor="text1"/>
        </w:rPr>
      </w:pPr>
      <w:r w:rsidRPr="00856EE5">
        <w:rPr>
          <w:rFonts w:ascii="Calibri" w:hAnsi="Calibri" w:cs="Calibri"/>
          <w:color w:val="000000" w:themeColor="text1"/>
        </w:rPr>
        <w:t xml:space="preserve">Stabilization services are offered to each household based on demonstrated need, in support of permanent housing retention and stabilization. </w:t>
      </w:r>
    </w:p>
    <w:p w14:paraId="5C195450" w14:textId="37D871B5" w:rsidR="00856EE5" w:rsidRPr="00856EE5" w:rsidRDefault="00856EE5">
      <w:pPr>
        <w:pStyle w:val="ListParagraph"/>
        <w:numPr>
          <w:ilvl w:val="3"/>
          <w:numId w:val="58"/>
        </w:numPr>
        <w:rPr>
          <w:rFonts w:ascii="Calibri" w:hAnsi="Calibri"/>
          <w:color w:val="000000" w:themeColor="text1"/>
        </w:rPr>
      </w:pPr>
      <w:r w:rsidRPr="00856EE5">
        <w:rPr>
          <w:rFonts w:ascii="Calibri" w:hAnsi="Calibri" w:cs="Calibri"/>
          <w:color w:val="000000" w:themeColor="text1"/>
        </w:rPr>
        <w:t>Households are assisted with creating and (for ongoing assistance) updating individualized Housing Stability Plans, designed to re-house and stabilize households as quickly as possible.</w:t>
      </w:r>
    </w:p>
    <w:p w14:paraId="058EEEEB" w14:textId="2EB0A5E5" w:rsidR="00856EE5" w:rsidRPr="00856EE5" w:rsidRDefault="00856EE5">
      <w:pPr>
        <w:pStyle w:val="ListParagraph"/>
        <w:numPr>
          <w:ilvl w:val="4"/>
          <w:numId w:val="58"/>
        </w:numPr>
        <w:rPr>
          <w:rFonts w:ascii="Calibri" w:hAnsi="Calibri"/>
          <w:color w:val="000000" w:themeColor="text1"/>
        </w:rPr>
      </w:pPr>
      <w:r w:rsidRPr="00856EE5">
        <w:rPr>
          <w:rFonts w:ascii="Calibri" w:hAnsi="Calibri" w:cs="Calibri"/>
          <w:color w:val="000000" w:themeColor="text1"/>
        </w:rPr>
        <w:t>Services are offered in support of the goals identified in the household’s Housing Stability Plan and are proportional to the household’s need, as measured by the modified VI-SPDAT.</w:t>
      </w:r>
    </w:p>
    <w:p w14:paraId="49D8FD03" w14:textId="0CB12646" w:rsidR="00856EE5" w:rsidRPr="00856EE5" w:rsidRDefault="00856EE5">
      <w:pPr>
        <w:pStyle w:val="ListParagraph"/>
        <w:numPr>
          <w:ilvl w:val="3"/>
          <w:numId w:val="58"/>
        </w:numPr>
        <w:rPr>
          <w:rFonts w:ascii="Calibri" w:hAnsi="Calibri"/>
          <w:color w:val="000000" w:themeColor="text1"/>
        </w:rPr>
      </w:pPr>
      <w:r w:rsidRPr="00856EE5">
        <w:rPr>
          <w:rFonts w:ascii="Calibri" w:hAnsi="Calibri" w:cs="Calibri"/>
          <w:color w:val="000000" w:themeColor="text1"/>
        </w:rPr>
        <w:t>Services are provided without pre-conditions such as employment or sobriety.</w:t>
      </w:r>
    </w:p>
    <w:p w14:paraId="0315FEC2" w14:textId="4B90A787" w:rsidR="00856EE5" w:rsidRPr="00856EE5" w:rsidRDefault="00856EE5">
      <w:pPr>
        <w:pStyle w:val="ListParagraph"/>
        <w:numPr>
          <w:ilvl w:val="2"/>
          <w:numId w:val="58"/>
        </w:numPr>
        <w:rPr>
          <w:rStyle w:val="Hyperlink"/>
          <w:rFonts w:ascii="Calibri" w:hAnsi="Calibri"/>
          <w:color w:val="000000" w:themeColor="text1"/>
          <w:u w:val="none"/>
        </w:rPr>
      </w:pPr>
      <w:r w:rsidRPr="00856EE5">
        <w:rPr>
          <w:rFonts w:ascii="Calibri" w:hAnsi="Calibri" w:cs="Calibri"/>
          <w:color w:val="000000" w:themeColor="text1"/>
        </w:rPr>
        <w:t xml:space="preserve">For more detail about services eligible for ESG funding, please see the most recent version of the ESG Eligible Expense Guide: </w:t>
      </w:r>
      <w:hyperlink r:id="rId26" w:history="1">
        <w:r w:rsidRPr="00856EE5">
          <w:rPr>
            <w:rStyle w:val="Hyperlink"/>
            <w:rFonts w:ascii="Calibri" w:hAnsi="Calibri" w:cs="Calibri"/>
            <w:color w:val="000000" w:themeColor="text1"/>
          </w:rPr>
          <w:t>https://www.hcd.ca.gov/grants-funding/docs/ESG-Eligible-Expense-Guide.pdf</w:t>
        </w:r>
      </w:hyperlink>
    </w:p>
    <w:p w14:paraId="0777CC40" w14:textId="2A900B25" w:rsidR="00856EE5" w:rsidRPr="00856EE5" w:rsidRDefault="00856EE5">
      <w:pPr>
        <w:pStyle w:val="ListParagraph"/>
        <w:numPr>
          <w:ilvl w:val="2"/>
          <w:numId w:val="58"/>
        </w:numPr>
        <w:rPr>
          <w:rFonts w:ascii="Calibri" w:hAnsi="Calibri"/>
          <w:color w:val="000000" w:themeColor="text1"/>
        </w:rPr>
      </w:pPr>
      <w:r w:rsidRPr="00856EE5">
        <w:rPr>
          <w:rFonts w:ascii="Calibri" w:hAnsi="Calibri" w:cs="Calibri"/>
          <w:color w:val="000000" w:themeColor="text1"/>
        </w:rPr>
        <w:t>Please note: Participation in services unrelated to obtaining permanent housing are voluntary.</w:t>
      </w:r>
    </w:p>
    <w:p w14:paraId="730853F1" w14:textId="39BF94E4" w:rsidR="00856EE5" w:rsidRPr="00856EE5" w:rsidRDefault="00856EE5">
      <w:pPr>
        <w:pStyle w:val="ListParagraph"/>
        <w:numPr>
          <w:ilvl w:val="1"/>
          <w:numId w:val="58"/>
        </w:numPr>
        <w:rPr>
          <w:rFonts w:ascii="Calibri" w:hAnsi="Calibri"/>
          <w:color w:val="000000" w:themeColor="text1"/>
        </w:rPr>
      </w:pPr>
      <w:r w:rsidRPr="00856EE5">
        <w:rPr>
          <w:rFonts w:ascii="Calibri" w:hAnsi="Calibri" w:cs="Calibri"/>
          <w:color w:val="000000" w:themeColor="text1"/>
        </w:rPr>
        <w:t>The following chart outlines eligible supportive services that can be funded through CoC-RRH and ESG-RRH.</w:t>
      </w:r>
    </w:p>
    <w:p w14:paraId="05BFB3EA" w14:textId="7A59E2EF" w:rsidR="00856EE5" w:rsidRPr="00856EE5" w:rsidRDefault="00856EE5">
      <w:pPr>
        <w:pStyle w:val="ListParagraph"/>
        <w:numPr>
          <w:ilvl w:val="2"/>
          <w:numId w:val="58"/>
        </w:numPr>
        <w:rPr>
          <w:rFonts w:ascii="Calibri" w:hAnsi="Calibri"/>
          <w:color w:val="000000" w:themeColor="text1"/>
        </w:rPr>
      </w:pPr>
      <w:r w:rsidRPr="00856EE5">
        <w:rPr>
          <w:rFonts w:ascii="Calibri" w:hAnsi="Calibri" w:cs="Calibri"/>
          <w:color w:val="000000" w:themeColor="text1"/>
        </w:rPr>
        <w:lastRenderedPageBreak/>
        <w:t>Please note, service providers may refer households to additional programs, not funded by ESG or CoC, that do not meet the following requirements.</w:t>
      </w:r>
    </w:p>
    <w:p w14:paraId="7B094D4B" w14:textId="77777777" w:rsidR="00DF0C3C" w:rsidRPr="00A76818" w:rsidRDefault="00DF0C3C" w:rsidP="00A81B74">
      <w:pPr>
        <w:contextualSpacing/>
        <w:rPr>
          <w:rFonts w:ascii="Calibri" w:hAnsi="Calibri" w:cs="Calibri"/>
          <w:color w:val="000000" w:themeColor="text1"/>
        </w:rPr>
      </w:pPr>
    </w:p>
    <w:tbl>
      <w:tblPr>
        <w:tblStyle w:val="GridTable4-Accent1"/>
        <w:tblW w:w="13135" w:type="dxa"/>
        <w:tblLook w:val="04A0" w:firstRow="1" w:lastRow="0" w:firstColumn="1" w:lastColumn="0" w:noHBand="0" w:noVBand="1"/>
      </w:tblPr>
      <w:tblGrid>
        <w:gridCol w:w="1075"/>
        <w:gridCol w:w="6030"/>
        <w:gridCol w:w="6030"/>
      </w:tblGrid>
      <w:tr w:rsidR="0073255E" w:rsidRPr="00A76818" w14:paraId="0F784F3E" w14:textId="77777777" w:rsidTr="00E90D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5" w:type="dxa"/>
            <w:gridSpan w:val="3"/>
          </w:tcPr>
          <w:p w14:paraId="79997707" w14:textId="77777777" w:rsidR="0073255E" w:rsidRPr="00A76818" w:rsidRDefault="0073255E" w:rsidP="00585009">
            <w:pPr>
              <w:contextualSpacing/>
              <w:rPr>
                <w:rFonts w:ascii="Calibri" w:hAnsi="Calibri" w:cs="Calibri"/>
                <w:b w:val="0"/>
                <w:bCs w:val="0"/>
                <w:color w:val="000000" w:themeColor="text1"/>
              </w:rPr>
            </w:pPr>
            <w:r w:rsidRPr="00A76818">
              <w:rPr>
                <w:rFonts w:ascii="Calibri" w:hAnsi="Calibri" w:cs="Calibri"/>
                <w:b w:val="0"/>
                <w:bCs w:val="0"/>
                <w:color w:val="000000" w:themeColor="text1"/>
              </w:rPr>
              <w:t>Summary of Eligible RRH Supportive Services</w:t>
            </w:r>
          </w:p>
        </w:tc>
      </w:tr>
      <w:tr w:rsidR="0073255E" w:rsidRPr="00A76818" w14:paraId="7FE52BBB" w14:textId="77777777" w:rsidTr="00E90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1584AF34" w14:textId="77777777" w:rsidR="0073255E" w:rsidRPr="00A76818" w:rsidRDefault="0073255E" w:rsidP="00585009">
            <w:pPr>
              <w:contextualSpacing/>
              <w:rPr>
                <w:rFonts w:ascii="Calibri" w:hAnsi="Calibri" w:cs="Calibri"/>
                <w:b w:val="0"/>
                <w:bCs w:val="0"/>
                <w:color w:val="000000" w:themeColor="text1"/>
              </w:rPr>
            </w:pPr>
          </w:p>
        </w:tc>
        <w:tc>
          <w:tcPr>
            <w:tcW w:w="6030" w:type="dxa"/>
          </w:tcPr>
          <w:p w14:paraId="1E4221C7" w14:textId="77777777" w:rsidR="0073255E" w:rsidRPr="00A76818" w:rsidRDefault="0073255E"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CoC-RRH</w:t>
            </w:r>
          </w:p>
        </w:tc>
        <w:tc>
          <w:tcPr>
            <w:tcW w:w="6030" w:type="dxa"/>
          </w:tcPr>
          <w:p w14:paraId="6A16987F" w14:textId="3BC4DD99" w:rsidR="0073255E" w:rsidRPr="00A76818" w:rsidRDefault="0073255E"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ESG-RRH</w:t>
            </w:r>
          </w:p>
        </w:tc>
      </w:tr>
      <w:tr w:rsidR="0073255E" w:rsidRPr="00A76818" w14:paraId="091FFCF6" w14:textId="77777777" w:rsidTr="00E90D39">
        <w:trPr>
          <w:trHeight w:val="1134"/>
        </w:trPr>
        <w:tc>
          <w:tcPr>
            <w:cnfStyle w:val="001000000000" w:firstRow="0" w:lastRow="0" w:firstColumn="1" w:lastColumn="0" w:oddVBand="0" w:evenVBand="0" w:oddHBand="0" w:evenHBand="0" w:firstRowFirstColumn="0" w:firstRowLastColumn="0" w:lastRowFirstColumn="0" w:lastRowLastColumn="0"/>
            <w:tcW w:w="1075" w:type="dxa"/>
            <w:textDirection w:val="btLr"/>
          </w:tcPr>
          <w:p w14:paraId="15CB9ED8" w14:textId="77777777" w:rsidR="0073255E" w:rsidRPr="00A76818" w:rsidRDefault="0073255E" w:rsidP="00585009">
            <w:pPr>
              <w:ind w:left="113" w:right="113"/>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t>Case</w:t>
            </w:r>
          </w:p>
          <w:p w14:paraId="3F998C53" w14:textId="77777777" w:rsidR="0073255E" w:rsidRPr="00A76818" w:rsidRDefault="0073255E" w:rsidP="00585009">
            <w:pPr>
              <w:ind w:left="113" w:right="113"/>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t>Management</w:t>
            </w:r>
          </w:p>
          <w:p w14:paraId="00A92D6A" w14:textId="77777777" w:rsidR="0073255E" w:rsidRPr="00A76818" w:rsidRDefault="0073255E" w:rsidP="00585009">
            <w:pPr>
              <w:ind w:left="113" w:right="113"/>
              <w:contextualSpacing/>
              <w:jc w:val="center"/>
              <w:rPr>
                <w:rFonts w:ascii="Calibri" w:hAnsi="Calibri" w:cs="Calibri"/>
                <w:b w:val="0"/>
                <w:bCs w:val="0"/>
                <w:color w:val="000000" w:themeColor="text1"/>
              </w:rPr>
            </w:pPr>
          </w:p>
        </w:tc>
        <w:tc>
          <w:tcPr>
            <w:tcW w:w="6030" w:type="dxa"/>
          </w:tcPr>
          <w:p w14:paraId="753FE624" w14:textId="77777777" w:rsidR="0073255E" w:rsidRPr="00A76818" w:rsidRDefault="0073255E"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Assessing, arranging, coordinating, and monitoring the delivery of individualized services to meet the needs of each household, including:</w:t>
            </w:r>
          </w:p>
          <w:p w14:paraId="2F6CDA7B" w14:textId="77777777" w:rsidR="0073255E" w:rsidRPr="00A76818" w:rsidRDefault="0073255E">
            <w:pPr>
              <w:pStyle w:val="ListParagraph"/>
              <w:numPr>
                <w:ilvl w:val="0"/>
                <w:numId w:val="4"/>
              </w:numPr>
              <w:ind w:left="431" w:hanging="341"/>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Providing ongoing risk assessment and safety planning with victims of domestic violence, dating violence, sexual assault, and stalking</w:t>
            </w:r>
          </w:p>
          <w:p w14:paraId="7E06792C" w14:textId="77777777" w:rsidR="0073255E" w:rsidRPr="00A76818" w:rsidRDefault="0073255E">
            <w:pPr>
              <w:pStyle w:val="ListParagraph"/>
              <w:numPr>
                <w:ilvl w:val="0"/>
                <w:numId w:val="4"/>
              </w:numPr>
              <w:ind w:left="431" w:hanging="341"/>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Using the coordinated entry system</w:t>
            </w:r>
          </w:p>
          <w:p w14:paraId="59637AAE" w14:textId="77777777" w:rsidR="0073255E" w:rsidRPr="00A76818" w:rsidRDefault="0073255E">
            <w:pPr>
              <w:pStyle w:val="ListParagraph"/>
              <w:numPr>
                <w:ilvl w:val="0"/>
                <w:numId w:val="4"/>
              </w:numPr>
              <w:ind w:left="431" w:hanging="341"/>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Counseling</w:t>
            </w:r>
          </w:p>
          <w:p w14:paraId="58663C0D" w14:textId="77777777" w:rsidR="0073255E" w:rsidRPr="00A76818" w:rsidRDefault="0073255E">
            <w:pPr>
              <w:pStyle w:val="ListParagraph"/>
              <w:numPr>
                <w:ilvl w:val="0"/>
                <w:numId w:val="4"/>
              </w:numPr>
              <w:ind w:left="431" w:hanging="341"/>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Developing, securing, and coordinating services</w:t>
            </w:r>
          </w:p>
          <w:p w14:paraId="651AAC91" w14:textId="77777777" w:rsidR="0073255E" w:rsidRPr="00A76818" w:rsidRDefault="0073255E">
            <w:pPr>
              <w:pStyle w:val="ListParagraph"/>
              <w:numPr>
                <w:ilvl w:val="0"/>
                <w:numId w:val="4"/>
              </w:numPr>
              <w:ind w:left="431" w:hanging="341"/>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Obtaining Federal, State, and local benefits</w:t>
            </w:r>
          </w:p>
          <w:p w14:paraId="4B5B1B74" w14:textId="77777777" w:rsidR="0073255E" w:rsidRPr="00A76818" w:rsidRDefault="0073255E">
            <w:pPr>
              <w:pStyle w:val="ListParagraph"/>
              <w:numPr>
                <w:ilvl w:val="0"/>
                <w:numId w:val="4"/>
              </w:numPr>
              <w:ind w:left="431" w:hanging="341"/>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Monitoring and evaluating program household progress</w:t>
            </w:r>
          </w:p>
          <w:p w14:paraId="013916BF" w14:textId="77777777" w:rsidR="0073255E" w:rsidRPr="00A76818" w:rsidRDefault="0073255E">
            <w:pPr>
              <w:pStyle w:val="ListParagraph"/>
              <w:numPr>
                <w:ilvl w:val="0"/>
                <w:numId w:val="4"/>
              </w:numPr>
              <w:ind w:left="431" w:hanging="341"/>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Providing information and referrals to other service providers</w:t>
            </w:r>
          </w:p>
          <w:p w14:paraId="062A5C8E" w14:textId="77777777" w:rsidR="0073255E" w:rsidRPr="00A76818" w:rsidRDefault="0073255E">
            <w:pPr>
              <w:pStyle w:val="ListParagraph"/>
              <w:numPr>
                <w:ilvl w:val="0"/>
                <w:numId w:val="4"/>
              </w:numPr>
              <w:ind w:left="431" w:hanging="341"/>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Developing a Housing Stability Plan with each household</w:t>
            </w:r>
          </w:p>
          <w:p w14:paraId="222D6BC9" w14:textId="77777777" w:rsidR="0073255E" w:rsidRPr="00A76818" w:rsidRDefault="0073255E">
            <w:pPr>
              <w:pStyle w:val="ListParagraph"/>
              <w:numPr>
                <w:ilvl w:val="0"/>
                <w:numId w:val="4"/>
              </w:numPr>
              <w:ind w:left="431" w:hanging="341"/>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Conducting regular assessments of service needs and income </w:t>
            </w:r>
          </w:p>
          <w:p w14:paraId="438CC5D5" w14:textId="77777777" w:rsidR="0073255E" w:rsidRPr="00A76818" w:rsidRDefault="0073255E"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c>
          <w:tcPr>
            <w:tcW w:w="6030" w:type="dxa"/>
          </w:tcPr>
          <w:p w14:paraId="0A8E65B2" w14:textId="77777777" w:rsidR="0073255E" w:rsidRPr="00A76818" w:rsidRDefault="0073255E"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Assessing, arranging, coordinating, and monitoring the delivery of individualized services to facilitate housing stability for each household that resides in permanent housing or to assist a household in overcoming immediate barriers to obtaining housing by, for example:</w:t>
            </w:r>
          </w:p>
          <w:p w14:paraId="13E00946" w14:textId="77777777" w:rsidR="0073255E" w:rsidRPr="00A76818" w:rsidRDefault="0073255E">
            <w:pPr>
              <w:pStyle w:val="ListParagraph"/>
              <w:numPr>
                <w:ilvl w:val="0"/>
                <w:numId w:val="5"/>
              </w:numPr>
              <w:ind w:left="41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Conducting the initial evaluation, including verifying and documenting eligibility</w:t>
            </w:r>
          </w:p>
          <w:p w14:paraId="14D09155" w14:textId="77777777" w:rsidR="0073255E" w:rsidRPr="00A76818" w:rsidRDefault="0073255E">
            <w:pPr>
              <w:pStyle w:val="ListParagraph"/>
              <w:numPr>
                <w:ilvl w:val="0"/>
                <w:numId w:val="5"/>
              </w:numPr>
              <w:ind w:left="41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Using the coordinated entry system</w:t>
            </w:r>
          </w:p>
          <w:p w14:paraId="2064279F" w14:textId="77777777" w:rsidR="0073255E" w:rsidRPr="00A76818" w:rsidRDefault="0073255E">
            <w:pPr>
              <w:pStyle w:val="ListParagraph"/>
              <w:numPr>
                <w:ilvl w:val="0"/>
                <w:numId w:val="5"/>
              </w:numPr>
              <w:ind w:left="41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Counseling</w:t>
            </w:r>
          </w:p>
          <w:p w14:paraId="3D50CC03" w14:textId="77777777" w:rsidR="0073255E" w:rsidRPr="00A76818" w:rsidRDefault="0073255E">
            <w:pPr>
              <w:pStyle w:val="ListParagraph"/>
              <w:numPr>
                <w:ilvl w:val="0"/>
                <w:numId w:val="5"/>
              </w:numPr>
              <w:ind w:left="41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Developing, securing, and coordinating services</w:t>
            </w:r>
          </w:p>
          <w:p w14:paraId="5FAF7358" w14:textId="77777777" w:rsidR="0073255E" w:rsidRPr="00A76818" w:rsidRDefault="0073255E">
            <w:pPr>
              <w:pStyle w:val="ListParagraph"/>
              <w:numPr>
                <w:ilvl w:val="0"/>
                <w:numId w:val="5"/>
              </w:numPr>
              <w:ind w:left="41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Obtaining Federal, State, and local benefits</w:t>
            </w:r>
          </w:p>
          <w:p w14:paraId="68E8D228" w14:textId="77777777" w:rsidR="0073255E" w:rsidRPr="00A76818" w:rsidRDefault="0073255E">
            <w:pPr>
              <w:pStyle w:val="ListParagraph"/>
              <w:numPr>
                <w:ilvl w:val="0"/>
                <w:numId w:val="5"/>
              </w:numPr>
              <w:ind w:left="41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Monitoring and evaluating program household progress</w:t>
            </w:r>
          </w:p>
          <w:p w14:paraId="46D3248B" w14:textId="77777777" w:rsidR="0073255E" w:rsidRPr="00A76818" w:rsidRDefault="0073255E">
            <w:pPr>
              <w:pStyle w:val="ListParagraph"/>
              <w:numPr>
                <w:ilvl w:val="0"/>
                <w:numId w:val="5"/>
              </w:numPr>
              <w:ind w:left="41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Providing information and referrals to other service providers</w:t>
            </w:r>
          </w:p>
          <w:p w14:paraId="2D2DC46F" w14:textId="77777777" w:rsidR="0073255E" w:rsidRPr="00A76818" w:rsidRDefault="0073255E">
            <w:pPr>
              <w:pStyle w:val="ListParagraph"/>
              <w:numPr>
                <w:ilvl w:val="0"/>
                <w:numId w:val="5"/>
              </w:numPr>
              <w:ind w:left="41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Developing a Housing Stability Plan with each household</w:t>
            </w:r>
          </w:p>
          <w:p w14:paraId="587B844F" w14:textId="77777777" w:rsidR="0073255E" w:rsidRDefault="0073255E">
            <w:pPr>
              <w:pStyle w:val="ListParagraph"/>
              <w:numPr>
                <w:ilvl w:val="0"/>
                <w:numId w:val="5"/>
              </w:numPr>
              <w:ind w:left="41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Conducting regular assessments of service needs and income </w:t>
            </w:r>
          </w:p>
          <w:p w14:paraId="53193556" w14:textId="21B5DA11" w:rsidR="00856EE5" w:rsidRPr="00B11059" w:rsidRDefault="00856EE5" w:rsidP="00856EE5">
            <w:pPr>
              <w:pStyle w:val="ListParagraph"/>
              <w:ind w:left="41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0073255E" w:rsidRPr="00A76818" w14:paraId="18C0640D" w14:textId="77777777" w:rsidTr="00E90D3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75" w:type="dxa"/>
            <w:textDirection w:val="btLr"/>
          </w:tcPr>
          <w:p w14:paraId="2B381F3E" w14:textId="77777777" w:rsidR="0073255E" w:rsidRPr="00A76818" w:rsidRDefault="0073255E" w:rsidP="00585009">
            <w:pPr>
              <w:ind w:left="113" w:right="113"/>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t>Legal</w:t>
            </w:r>
          </w:p>
          <w:p w14:paraId="23135801" w14:textId="77777777" w:rsidR="0073255E" w:rsidRPr="00A76818" w:rsidRDefault="0073255E" w:rsidP="00585009">
            <w:pPr>
              <w:ind w:left="113" w:right="113"/>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t>Services</w:t>
            </w:r>
          </w:p>
          <w:p w14:paraId="3823E6F8" w14:textId="77777777" w:rsidR="0073255E" w:rsidRPr="00A76818" w:rsidRDefault="0073255E" w:rsidP="00585009">
            <w:pPr>
              <w:ind w:left="113" w:right="113"/>
              <w:contextualSpacing/>
              <w:jc w:val="center"/>
              <w:rPr>
                <w:rFonts w:ascii="Calibri" w:hAnsi="Calibri" w:cs="Calibri"/>
                <w:b w:val="0"/>
                <w:bCs w:val="0"/>
                <w:color w:val="000000" w:themeColor="text1"/>
              </w:rPr>
            </w:pPr>
          </w:p>
        </w:tc>
        <w:tc>
          <w:tcPr>
            <w:tcW w:w="6030" w:type="dxa"/>
          </w:tcPr>
          <w:p w14:paraId="5460924E" w14:textId="77777777" w:rsidR="0073255E" w:rsidRPr="00A76818" w:rsidRDefault="0073255E"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Costs of legal advice and representation in matters that interfere with the household’s ability to obtain and retain housing. Legal services or activities include receiving and preparing cases for trial, provision of legal advice, representation at hearings, and counseling. Filing fees and other necessary court costs are also eligible. Legal services are subject to the following provisions: </w:t>
            </w:r>
          </w:p>
          <w:p w14:paraId="17D9AEDA" w14:textId="77777777" w:rsidR="0073255E" w:rsidRPr="00A76818" w:rsidRDefault="0073255E">
            <w:pPr>
              <w:pStyle w:val="ListParagraph"/>
              <w:numPr>
                <w:ilvl w:val="0"/>
                <w:numId w:val="43"/>
              </w:numPr>
              <w:ind w:left="431"/>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u w:val="single"/>
              </w:rPr>
              <w:lastRenderedPageBreak/>
              <w:t>Eligible Billing Arrangements</w:t>
            </w:r>
            <w:r w:rsidRPr="00A76818">
              <w:rPr>
                <w:rFonts w:ascii="Calibri" w:hAnsi="Calibri" w:cs="Calibri"/>
                <w:color w:val="000000" w:themeColor="text1"/>
              </w:rPr>
              <w:t xml:space="preserve"> CoC funds may be used for legal advice from and representation by licensed attorneys and by person(s) under the supervision of licensed attorneys. </w:t>
            </w:r>
          </w:p>
          <w:p w14:paraId="1515A5FC" w14:textId="77777777" w:rsidR="0073255E" w:rsidRPr="00A76818" w:rsidRDefault="0073255E">
            <w:pPr>
              <w:pStyle w:val="ListParagraph"/>
              <w:numPr>
                <w:ilvl w:val="1"/>
                <w:numId w:val="6"/>
              </w:numPr>
              <w:ind w:left="881"/>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Costs may be based on: </w:t>
            </w:r>
          </w:p>
          <w:p w14:paraId="7A8D5E47" w14:textId="77777777" w:rsidR="0073255E" w:rsidRPr="00A76818" w:rsidRDefault="0073255E">
            <w:pPr>
              <w:pStyle w:val="ListParagraph"/>
              <w:numPr>
                <w:ilvl w:val="2"/>
                <w:numId w:val="6"/>
              </w:numPr>
              <w:ind w:left="1061" w:hanging="251"/>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Hourly fees</w:t>
            </w:r>
          </w:p>
          <w:p w14:paraId="1C66D0AB" w14:textId="77777777" w:rsidR="0073255E" w:rsidRPr="00A76818" w:rsidRDefault="0073255E">
            <w:pPr>
              <w:pStyle w:val="ListParagraph"/>
              <w:numPr>
                <w:ilvl w:val="2"/>
                <w:numId w:val="6"/>
              </w:numPr>
              <w:ind w:left="1061" w:hanging="251"/>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Fees based on the actual service performed (i.e., fee for service) but only if the cost would be less than the cost of hourly fees</w:t>
            </w:r>
          </w:p>
          <w:p w14:paraId="2F5FE1CD" w14:textId="77777777" w:rsidR="0073255E" w:rsidRPr="00A76818" w:rsidRDefault="0073255E">
            <w:pPr>
              <w:pStyle w:val="ListParagraph"/>
              <w:numPr>
                <w:ilvl w:val="0"/>
                <w:numId w:val="6"/>
              </w:numPr>
              <w:ind w:left="431"/>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u w:val="single"/>
              </w:rPr>
              <w:t>Ineligible Billing Arrangements</w:t>
            </w:r>
            <w:r w:rsidRPr="00A76818">
              <w:rPr>
                <w:rFonts w:ascii="Calibri" w:hAnsi="Calibri" w:cs="Calibri"/>
                <w:color w:val="000000" w:themeColor="text1"/>
              </w:rPr>
              <w:t xml:space="preserve"> Funds must not be used for legal advice and representation purchased through retainer fee arrangements or contingency fee arrangements.</w:t>
            </w:r>
          </w:p>
          <w:p w14:paraId="0C66395C" w14:textId="77777777" w:rsidR="0073255E" w:rsidRPr="00A76818" w:rsidRDefault="0073255E">
            <w:pPr>
              <w:pStyle w:val="ListParagraph"/>
              <w:numPr>
                <w:ilvl w:val="0"/>
                <w:numId w:val="6"/>
              </w:numPr>
              <w:ind w:left="431"/>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u w:val="single"/>
              </w:rPr>
              <w:t>Eligible Subject Matters</w:t>
            </w:r>
            <w:r w:rsidRPr="00A76818">
              <w:rPr>
                <w:rFonts w:ascii="Calibri" w:hAnsi="Calibri" w:cs="Calibri"/>
                <w:color w:val="000000" w:themeColor="text1"/>
              </w:rPr>
              <w:t xml:space="preserve"> Landlord tenant disputes; child support; guardianship; paternity; emancipation; legal separation; orders of protection and other civil remedies for victims of domestic violence, dating violence, sexual assault, and stalking; appeal of veterans and public benefit claim denials; resolution of outstanding criminal warrants.</w:t>
            </w:r>
          </w:p>
          <w:p w14:paraId="48B347A0" w14:textId="77777777" w:rsidR="0073255E" w:rsidRPr="00A76818" w:rsidRDefault="0073255E">
            <w:pPr>
              <w:pStyle w:val="ListParagraph"/>
              <w:numPr>
                <w:ilvl w:val="0"/>
                <w:numId w:val="6"/>
              </w:numPr>
              <w:ind w:left="431"/>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u w:val="single"/>
              </w:rPr>
              <w:t>Ineligible Subject Matter</w:t>
            </w:r>
            <w:r w:rsidRPr="00A76818">
              <w:rPr>
                <w:rFonts w:ascii="Calibri" w:hAnsi="Calibri" w:cs="Calibri"/>
                <w:color w:val="000000" w:themeColor="text1"/>
              </w:rPr>
              <w:t xml:space="preserve"> Legal services related to immigration and citizenship matters or related to mortgages and homeownership.</w:t>
            </w:r>
          </w:p>
          <w:p w14:paraId="20CFB0B9" w14:textId="77777777" w:rsidR="0073255E" w:rsidRPr="00A76818" w:rsidRDefault="0073255E"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c>
          <w:tcPr>
            <w:tcW w:w="6030" w:type="dxa"/>
          </w:tcPr>
          <w:p w14:paraId="5ABB7CC0" w14:textId="77777777" w:rsidR="0073255E" w:rsidRPr="00A76818" w:rsidRDefault="0073255E"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lastRenderedPageBreak/>
              <w:t>Costs of resolving a legal problem that prohibit a household from obtaining or retaining permanent housing. Legal services or activities include household intake, preparation of cases for trial, provision of legal advice, representation at hearings, and counseling. Filing fees and other necessary court costs are also eligible. Legal services are subject to the following provisions:</w:t>
            </w:r>
          </w:p>
          <w:p w14:paraId="65ADBFE5" w14:textId="77777777" w:rsidR="0073255E" w:rsidRPr="00A76818" w:rsidRDefault="0073255E">
            <w:pPr>
              <w:pStyle w:val="ListParagraph"/>
              <w:numPr>
                <w:ilvl w:val="0"/>
                <w:numId w:val="7"/>
              </w:numPr>
              <w:ind w:left="414"/>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u w:val="single"/>
              </w:rPr>
              <w:lastRenderedPageBreak/>
              <w:t>Eligible Billing Arrangements</w:t>
            </w:r>
            <w:r w:rsidRPr="00A76818">
              <w:rPr>
                <w:rFonts w:ascii="Calibri" w:hAnsi="Calibri" w:cs="Calibri"/>
                <w:color w:val="000000" w:themeColor="text1"/>
              </w:rPr>
              <w:t xml:space="preserve"> ESG funds may be used only for legal advice from and representation by licensed attorneys and by person(s) under the supervision of licensed attorneys.</w:t>
            </w:r>
          </w:p>
          <w:p w14:paraId="55A78E7B" w14:textId="77777777" w:rsidR="0073255E" w:rsidRPr="00A76818" w:rsidRDefault="0073255E">
            <w:pPr>
              <w:pStyle w:val="ListParagraph"/>
              <w:numPr>
                <w:ilvl w:val="1"/>
                <w:numId w:val="7"/>
              </w:numPr>
              <w:ind w:left="864"/>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Costs may be based on:</w:t>
            </w:r>
          </w:p>
          <w:p w14:paraId="1811D9CE" w14:textId="77777777" w:rsidR="0073255E" w:rsidRPr="00A76818" w:rsidRDefault="0073255E">
            <w:pPr>
              <w:pStyle w:val="ListParagraph"/>
              <w:numPr>
                <w:ilvl w:val="2"/>
                <w:numId w:val="7"/>
              </w:numPr>
              <w:ind w:left="1134" w:hanging="27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Hourly fees</w:t>
            </w:r>
          </w:p>
          <w:p w14:paraId="7FDD747F" w14:textId="77777777" w:rsidR="0073255E" w:rsidRPr="00A76818" w:rsidRDefault="0073255E">
            <w:pPr>
              <w:pStyle w:val="ListParagraph"/>
              <w:numPr>
                <w:ilvl w:val="2"/>
                <w:numId w:val="7"/>
              </w:numPr>
              <w:ind w:left="1134" w:hanging="27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Fees based on the actual service performed (i.e., fee for service) but only if the cost would be less than the cost of hourly fees</w:t>
            </w:r>
          </w:p>
          <w:p w14:paraId="6DCB22F8" w14:textId="77777777" w:rsidR="0073255E" w:rsidRPr="00A76818" w:rsidRDefault="0073255E">
            <w:pPr>
              <w:pStyle w:val="ListParagraph"/>
              <w:numPr>
                <w:ilvl w:val="0"/>
                <w:numId w:val="7"/>
              </w:numPr>
              <w:ind w:left="414"/>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u w:val="single"/>
              </w:rPr>
              <w:t>Ineligible Billing Arrangements</w:t>
            </w:r>
            <w:r w:rsidRPr="00A76818">
              <w:rPr>
                <w:rFonts w:ascii="Calibri" w:hAnsi="Calibri" w:cs="Calibri"/>
                <w:color w:val="000000" w:themeColor="text1"/>
              </w:rPr>
              <w:t xml:space="preserve"> Funds must not be used for legal advice and representation purchased through retainer fee arrangements or contingency fee arrangements. </w:t>
            </w:r>
          </w:p>
          <w:p w14:paraId="25098798" w14:textId="77777777" w:rsidR="0073255E" w:rsidRPr="00A76818" w:rsidRDefault="0073255E">
            <w:pPr>
              <w:pStyle w:val="ListParagraph"/>
              <w:numPr>
                <w:ilvl w:val="0"/>
                <w:numId w:val="7"/>
              </w:numPr>
              <w:ind w:left="414"/>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u w:val="single"/>
              </w:rPr>
              <w:t>Eligible Subject Matters</w:t>
            </w:r>
            <w:r w:rsidRPr="00A76818">
              <w:rPr>
                <w:rFonts w:ascii="Calibri" w:hAnsi="Calibri" w:cs="Calibri"/>
                <w:color w:val="000000" w:themeColor="text1"/>
              </w:rPr>
              <w:t xml:space="preserve"> Landlord/tenant matters; child support; guardianship; paternity; emancipation; legal separation; orders of protection and other civil remedies for victims of domestic violence, dating violence, sexual assault, and stalking; appeal of veterans and public benefit claim denials; resolution of outstanding criminal warrants.</w:t>
            </w:r>
          </w:p>
          <w:p w14:paraId="79A3A3AA" w14:textId="77777777" w:rsidR="0073255E" w:rsidRPr="00A76818" w:rsidRDefault="0073255E">
            <w:pPr>
              <w:pStyle w:val="ListParagraph"/>
              <w:numPr>
                <w:ilvl w:val="0"/>
                <w:numId w:val="7"/>
              </w:numPr>
              <w:ind w:left="414"/>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u w:val="single"/>
              </w:rPr>
              <w:t>Ineligible Subject Matter</w:t>
            </w:r>
            <w:r w:rsidRPr="00A76818">
              <w:rPr>
                <w:rFonts w:ascii="Calibri" w:hAnsi="Calibri" w:cs="Calibri"/>
                <w:color w:val="000000" w:themeColor="text1"/>
              </w:rPr>
              <w:t xml:space="preserve"> Legal services related to immigration and citizenship matters or related to mortgages.</w:t>
            </w:r>
          </w:p>
          <w:p w14:paraId="15CA9B9C" w14:textId="77777777" w:rsidR="0073255E" w:rsidRPr="00A76818" w:rsidRDefault="0073255E"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0073255E" w:rsidRPr="00A76818" w14:paraId="76E298CF" w14:textId="77777777" w:rsidTr="00E90D39">
        <w:trPr>
          <w:trHeight w:val="1134"/>
        </w:trPr>
        <w:tc>
          <w:tcPr>
            <w:cnfStyle w:val="001000000000" w:firstRow="0" w:lastRow="0" w:firstColumn="1" w:lastColumn="0" w:oddVBand="0" w:evenVBand="0" w:oddHBand="0" w:evenHBand="0" w:firstRowFirstColumn="0" w:firstRowLastColumn="0" w:lastRowFirstColumn="0" w:lastRowLastColumn="0"/>
            <w:tcW w:w="1075" w:type="dxa"/>
            <w:textDirection w:val="btLr"/>
          </w:tcPr>
          <w:p w14:paraId="27CAF8ED" w14:textId="77777777" w:rsidR="0073255E" w:rsidRPr="00A76818" w:rsidRDefault="0073255E" w:rsidP="00585009">
            <w:pPr>
              <w:ind w:left="113" w:right="113"/>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lastRenderedPageBreak/>
              <w:t>Moving Costs</w:t>
            </w:r>
          </w:p>
        </w:tc>
        <w:tc>
          <w:tcPr>
            <w:tcW w:w="6030" w:type="dxa"/>
          </w:tcPr>
          <w:p w14:paraId="30BC6A66" w14:textId="77777777" w:rsidR="0073255E" w:rsidRPr="00A76818" w:rsidRDefault="0073255E"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Reasonable one-time moving costs, including truck rental and hiring a moving company </w:t>
            </w:r>
          </w:p>
          <w:p w14:paraId="474A9DC7" w14:textId="77777777" w:rsidR="0073255E" w:rsidRPr="00A76818" w:rsidRDefault="0073255E"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c>
          <w:tcPr>
            <w:tcW w:w="6030" w:type="dxa"/>
          </w:tcPr>
          <w:p w14:paraId="04642738" w14:textId="77777777" w:rsidR="0073255E" w:rsidRDefault="0073255E"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Costs such as truck rental or hiring a moving company, including payment of temporary storage fees for up to 3 months </w:t>
            </w:r>
          </w:p>
          <w:p w14:paraId="7EE6CA0F" w14:textId="6FE6CD70" w:rsidR="00E16BCE" w:rsidRPr="00A76818" w:rsidRDefault="00E16BCE"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0073255E" w:rsidRPr="00A76818" w14:paraId="4DCEFE7B" w14:textId="77777777" w:rsidTr="00E90D39">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1075" w:type="dxa"/>
            <w:textDirection w:val="btLr"/>
          </w:tcPr>
          <w:p w14:paraId="6E0D24AC" w14:textId="77777777" w:rsidR="0073255E" w:rsidRPr="00A76818" w:rsidRDefault="0073255E" w:rsidP="00585009">
            <w:pPr>
              <w:ind w:left="113" w:right="113"/>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t>Utility Deposits</w:t>
            </w:r>
          </w:p>
          <w:p w14:paraId="0944D4D9" w14:textId="77777777" w:rsidR="0073255E" w:rsidRPr="00A76818" w:rsidRDefault="0073255E" w:rsidP="00585009">
            <w:pPr>
              <w:ind w:left="113" w:right="113"/>
              <w:contextualSpacing/>
              <w:jc w:val="center"/>
              <w:rPr>
                <w:rFonts w:ascii="Calibri" w:hAnsi="Calibri" w:cs="Calibri"/>
                <w:b w:val="0"/>
                <w:bCs w:val="0"/>
                <w:color w:val="000000" w:themeColor="text1"/>
              </w:rPr>
            </w:pPr>
          </w:p>
        </w:tc>
        <w:tc>
          <w:tcPr>
            <w:tcW w:w="6030" w:type="dxa"/>
          </w:tcPr>
          <w:p w14:paraId="30A62DC6" w14:textId="77777777" w:rsidR="0073255E" w:rsidRPr="00A76818" w:rsidRDefault="0073255E"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Payment of utility deposit, which constitutes a one-time fee paid to utility companies </w:t>
            </w:r>
          </w:p>
          <w:p w14:paraId="7236CD75" w14:textId="77777777" w:rsidR="0073255E" w:rsidRPr="00A76818" w:rsidRDefault="0073255E"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c>
          <w:tcPr>
            <w:tcW w:w="6030" w:type="dxa"/>
          </w:tcPr>
          <w:p w14:paraId="3B74FB1D" w14:textId="77777777" w:rsidR="0073255E" w:rsidRPr="00A76818" w:rsidRDefault="0073255E"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Standard utility deposit that the utility company requires of all customers</w:t>
            </w:r>
          </w:p>
          <w:p w14:paraId="11D259E2" w14:textId="77777777" w:rsidR="0073255E" w:rsidRPr="00A76818" w:rsidRDefault="0073255E"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0073255E" w:rsidRPr="00A76818" w14:paraId="1B993E05" w14:textId="77777777" w:rsidTr="00E90D39">
        <w:trPr>
          <w:trHeight w:val="1134"/>
        </w:trPr>
        <w:tc>
          <w:tcPr>
            <w:cnfStyle w:val="001000000000" w:firstRow="0" w:lastRow="0" w:firstColumn="1" w:lastColumn="0" w:oddVBand="0" w:evenVBand="0" w:oddHBand="0" w:evenHBand="0" w:firstRowFirstColumn="0" w:firstRowLastColumn="0" w:lastRowFirstColumn="0" w:lastRowLastColumn="0"/>
            <w:tcW w:w="1075" w:type="dxa"/>
            <w:textDirection w:val="btLr"/>
          </w:tcPr>
          <w:p w14:paraId="1905842F" w14:textId="77777777" w:rsidR="0073255E" w:rsidRPr="00A76818" w:rsidRDefault="0073255E" w:rsidP="00585009">
            <w:pPr>
              <w:ind w:left="113" w:right="113"/>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lastRenderedPageBreak/>
              <w:t>Mediation</w:t>
            </w:r>
          </w:p>
          <w:p w14:paraId="03ACCE34" w14:textId="77777777" w:rsidR="0073255E" w:rsidRPr="00A76818" w:rsidRDefault="0073255E" w:rsidP="00585009">
            <w:pPr>
              <w:ind w:left="113" w:right="113"/>
              <w:contextualSpacing/>
              <w:jc w:val="center"/>
              <w:rPr>
                <w:rFonts w:ascii="Calibri" w:hAnsi="Calibri" w:cs="Calibri"/>
                <w:b w:val="0"/>
                <w:bCs w:val="0"/>
                <w:color w:val="000000" w:themeColor="text1"/>
              </w:rPr>
            </w:pPr>
          </w:p>
        </w:tc>
        <w:tc>
          <w:tcPr>
            <w:tcW w:w="6030" w:type="dxa"/>
          </w:tcPr>
          <w:p w14:paraId="176F4D2D" w14:textId="77777777" w:rsidR="0073255E" w:rsidRPr="00A76818" w:rsidRDefault="0073255E"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Mediation with property owners and landlords on behalf of the household. </w:t>
            </w:r>
          </w:p>
          <w:p w14:paraId="23F0783D" w14:textId="77777777" w:rsidR="0073255E" w:rsidRPr="00A76818" w:rsidRDefault="0073255E"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c>
          <w:tcPr>
            <w:tcW w:w="6030" w:type="dxa"/>
          </w:tcPr>
          <w:p w14:paraId="5B417B2C" w14:textId="77777777" w:rsidR="0073255E" w:rsidRPr="00A76818" w:rsidRDefault="0073255E"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Mediation between the household and the owner or person(s) with whom the household is living. </w:t>
            </w:r>
          </w:p>
          <w:p w14:paraId="7A1F3DF8" w14:textId="77777777" w:rsidR="0073255E" w:rsidRPr="00A76818" w:rsidRDefault="0073255E"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0073255E" w:rsidRPr="00A76818" w14:paraId="5CCA9B74" w14:textId="77777777" w:rsidTr="00E90D3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75" w:type="dxa"/>
            <w:textDirection w:val="btLr"/>
          </w:tcPr>
          <w:p w14:paraId="60ED0115" w14:textId="77777777" w:rsidR="0073255E" w:rsidRPr="00A76818" w:rsidRDefault="0073255E" w:rsidP="00585009">
            <w:pPr>
              <w:ind w:left="113" w:right="113"/>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t>Credit</w:t>
            </w:r>
          </w:p>
          <w:p w14:paraId="7F4F7677" w14:textId="77777777" w:rsidR="0073255E" w:rsidRPr="00A76818" w:rsidRDefault="0073255E" w:rsidP="00585009">
            <w:pPr>
              <w:ind w:left="113" w:right="113"/>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t>Repair</w:t>
            </w:r>
          </w:p>
        </w:tc>
        <w:tc>
          <w:tcPr>
            <w:tcW w:w="6030" w:type="dxa"/>
          </w:tcPr>
          <w:p w14:paraId="2680AC64" w14:textId="77777777" w:rsidR="0073255E" w:rsidRPr="00A76818" w:rsidRDefault="0073255E">
            <w:pPr>
              <w:pStyle w:val="ListParagraph"/>
              <w:numPr>
                <w:ilvl w:val="0"/>
                <w:numId w:val="8"/>
              </w:numPr>
              <w:ind w:left="431" w:hanging="34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Credit counseling</w:t>
            </w:r>
          </w:p>
          <w:p w14:paraId="3162473B" w14:textId="77777777" w:rsidR="0073255E" w:rsidRPr="00A76818" w:rsidRDefault="0073255E">
            <w:pPr>
              <w:pStyle w:val="ListParagraph"/>
              <w:numPr>
                <w:ilvl w:val="0"/>
                <w:numId w:val="8"/>
              </w:numPr>
              <w:ind w:left="431" w:hanging="34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Accessing a free personal credit report</w:t>
            </w:r>
          </w:p>
          <w:p w14:paraId="2253602D" w14:textId="77777777" w:rsidR="0073255E" w:rsidRPr="00A76818" w:rsidRDefault="0073255E">
            <w:pPr>
              <w:pStyle w:val="ListParagraph"/>
              <w:numPr>
                <w:ilvl w:val="0"/>
                <w:numId w:val="8"/>
              </w:numPr>
              <w:ind w:left="431" w:hanging="34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Resolving personal credit issues</w:t>
            </w:r>
          </w:p>
          <w:p w14:paraId="739D6B99" w14:textId="77777777" w:rsidR="0073255E" w:rsidRPr="00A76818" w:rsidRDefault="0073255E"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c>
          <w:tcPr>
            <w:tcW w:w="6030" w:type="dxa"/>
          </w:tcPr>
          <w:p w14:paraId="7935B0D5" w14:textId="77777777" w:rsidR="0073255E" w:rsidRPr="00A76818" w:rsidRDefault="0073255E">
            <w:pPr>
              <w:pStyle w:val="ListParagraph"/>
              <w:numPr>
                <w:ilvl w:val="0"/>
                <w:numId w:val="8"/>
              </w:numPr>
              <w:ind w:left="414"/>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Credit counseling</w:t>
            </w:r>
          </w:p>
          <w:p w14:paraId="1BCDDD15" w14:textId="77777777" w:rsidR="0073255E" w:rsidRPr="00A76818" w:rsidRDefault="0073255E">
            <w:pPr>
              <w:pStyle w:val="ListParagraph"/>
              <w:numPr>
                <w:ilvl w:val="0"/>
                <w:numId w:val="8"/>
              </w:numPr>
              <w:ind w:left="414"/>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Accessing a free personal credit report </w:t>
            </w:r>
          </w:p>
          <w:p w14:paraId="43A7324A" w14:textId="77777777" w:rsidR="0073255E" w:rsidRPr="00A76818" w:rsidRDefault="0073255E">
            <w:pPr>
              <w:pStyle w:val="ListParagraph"/>
              <w:numPr>
                <w:ilvl w:val="0"/>
                <w:numId w:val="8"/>
              </w:numPr>
              <w:ind w:left="414"/>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Resolving personal credit problems</w:t>
            </w:r>
          </w:p>
          <w:p w14:paraId="373FEE5A" w14:textId="77777777" w:rsidR="0073255E" w:rsidRDefault="0073255E">
            <w:pPr>
              <w:pStyle w:val="ListParagraph"/>
              <w:numPr>
                <w:ilvl w:val="0"/>
                <w:numId w:val="8"/>
              </w:numPr>
              <w:ind w:left="414"/>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Other services needed to assist with critical skills related to household budgeting and money management</w:t>
            </w:r>
          </w:p>
          <w:p w14:paraId="00411B8D" w14:textId="42BF12C5" w:rsidR="00856EE5" w:rsidRPr="00A76818" w:rsidRDefault="00856EE5" w:rsidP="00856EE5">
            <w:pPr>
              <w:pStyle w:val="ListParagraph"/>
              <w:ind w:left="414"/>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0073255E" w:rsidRPr="00A76818" w14:paraId="0B15C9D5" w14:textId="77777777" w:rsidTr="00E90D39">
        <w:tc>
          <w:tcPr>
            <w:cnfStyle w:val="001000000000" w:firstRow="0" w:lastRow="0" w:firstColumn="1" w:lastColumn="0" w:oddVBand="0" w:evenVBand="0" w:oddHBand="0" w:evenHBand="0" w:firstRowFirstColumn="0" w:firstRowLastColumn="0" w:lastRowFirstColumn="0" w:lastRowLastColumn="0"/>
            <w:tcW w:w="13135" w:type="dxa"/>
            <w:gridSpan w:val="3"/>
          </w:tcPr>
          <w:p w14:paraId="63BAA9ED" w14:textId="77777777" w:rsidR="0073255E" w:rsidRPr="00A76818" w:rsidRDefault="0073255E" w:rsidP="00585009">
            <w:pPr>
              <w:contextualSpacing/>
              <w:rPr>
                <w:rFonts w:ascii="Calibri" w:hAnsi="Calibri" w:cs="Calibri"/>
                <w:b w:val="0"/>
                <w:bCs w:val="0"/>
                <w:color w:val="000000" w:themeColor="text1"/>
              </w:rPr>
            </w:pPr>
            <w:r w:rsidRPr="00A76818">
              <w:rPr>
                <w:rFonts w:ascii="Calibri" w:hAnsi="Calibri" w:cs="Calibri"/>
                <w:b w:val="0"/>
                <w:bCs w:val="0"/>
                <w:color w:val="000000" w:themeColor="text1"/>
              </w:rPr>
              <w:t>Additional Supportive Services for CoC-RRH ONLY</w:t>
            </w:r>
          </w:p>
        </w:tc>
      </w:tr>
      <w:tr w:rsidR="0073255E" w:rsidRPr="00A76818" w14:paraId="5D33D940" w14:textId="77777777" w:rsidTr="00E90D39">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13135" w:type="dxa"/>
            <w:gridSpan w:val="3"/>
          </w:tcPr>
          <w:p w14:paraId="5DECB6F6" w14:textId="77777777" w:rsidR="0073255E" w:rsidRPr="00A76818" w:rsidRDefault="0073255E" w:rsidP="00585009">
            <w:pPr>
              <w:contextualSpacing/>
              <w:rPr>
                <w:rFonts w:ascii="Calibri" w:hAnsi="Calibri" w:cs="Calibri"/>
                <w:b w:val="0"/>
                <w:bCs w:val="0"/>
                <w:color w:val="000000" w:themeColor="text1"/>
              </w:rPr>
            </w:pPr>
            <w:r w:rsidRPr="00A76818">
              <w:rPr>
                <w:rFonts w:ascii="Calibri" w:hAnsi="Calibri" w:cs="Calibri"/>
                <w:b w:val="0"/>
                <w:bCs w:val="0"/>
                <w:color w:val="000000" w:themeColor="text1"/>
              </w:rPr>
              <w:t>Childcare The costs of establishing and operating childcare and providing childcare vouchers for children in eligible households</w:t>
            </w:r>
          </w:p>
        </w:tc>
      </w:tr>
      <w:tr w:rsidR="0073255E" w:rsidRPr="00A76818" w14:paraId="26546A96" w14:textId="77777777" w:rsidTr="00E90D39">
        <w:tc>
          <w:tcPr>
            <w:cnfStyle w:val="001000000000" w:firstRow="0" w:lastRow="0" w:firstColumn="1" w:lastColumn="0" w:oddVBand="0" w:evenVBand="0" w:oddHBand="0" w:evenHBand="0" w:firstRowFirstColumn="0" w:firstRowLastColumn="0" w:lastRowFirstColumn="0" w:lastRowLastColumn="0"/>
            <w:tcW w:w="13135" w:type="dxa"/>
            <w:gridSpan w:val="3"/>
          </w:tcPr>
          <w:p w14:paraId="29225CF2" w14:textId="77777777" w:rsidR="0073255E" w:rsidRPr="00A76818" w:rsidRDefault="0073255E" w:rsidP="00585009">
            <w:pPr>
              <w:contextualSpacing/>
              <w:rPr>
                <w:rFonts w:ascii="Calibri" w:hAnsi="Calibri" w:cs="Calibri"/>
                <w:b w:val="0"/>
                <w:bCs w:val="0"/>
                <w:color w:val="000000" w:themeColor="text1"/>
              </w:rPr>
            </w:pPr>
            <w:r w:rsidRPr="00A76818">
              <w:rPr>
                <w:rFonts w:ascii="Calibri" w:hAnsi="Calibri" w:cs="Calibri"/>
                <w:b w:val="0"/>
                <w:bCs w:val="0"/>
                <w:color w:val="000000" w:themeColor="text1"/>
              </w:rPr>
              <w:t xml:space="preserve">Education Services The costs of improving knowledge and basic educational skills </w:t>
            </w:r>
          </w:p>
        </w:tc>
      </w:tr>
      <w:tr w:rsidR="0073255E" w:rsidRPr="00A76818" w14:paraId="317B1FE5" w14:textId="77777777" w:rsidTr="00E90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5" w:type="dxa"/>
            <w:gridSpan w:val="3"/>
          </w:tcPr>
          <w:p w14:paraId="0F89B897" w14:textId="77777777" w:rsidR="0073255E" w:rsidRPr="00A76818" w:rsidRDefault="0073255E" w:rsidP="00585009">
            <w:pPr>
              <w:contextualSpacing/>
              <w:rPr>
                <w:rFonts w:ascii="Calibri" w:hAnsi="Calibri" w:cs="Calibri"/>
                <w:b w:val="0"/>
                <w:bCs w:val="0"/>
                <w:color w:val="000000" w:themeColor="text1"/>
              </w:rPr>
            </w:pPr>
            <w:r w:rsidRPr="00A76818">
              <w:rPr>
                <w:rFonts w:ascii="Calibri" w:hAnsi="Calibri" w:cs="Calibri"/>
                <w:b w:val="0"/>
                <w:bCs w:val="0"/>
                <w:color w:val="000000" w:themeColor="text1"/>
              </w:rPr>
              <w:t>Employment Assistance and Job Training The costs of establishing and operating employment assistance and job training programs</w:t>
            </w:r>
          </w:p>
        </w:tc>
      </w:tr>
      <w:tr w:rsidR="0073255E" w:rsidRPr="00A76818" w14:paraId="5A0772C3" w14:textId="77777777" w:rsidTr="00E90D39">
        <w:tc>
          <w:tcPr>
            <w:cnfStyle w:val="001000000000" w:firstRow="0" w:lastRow="0" w:firstColumn="1" w:lastColumn="0" w:oddVBand="0" w:evenVBand="0" w:oddHBand="0" w:evenHBand="0" w:firstRowFirstColumn="0" w:firstRowLastColumn="0" w:lastRowFirstColumn="0" w:lastRowLastColumn="0"/>
            <w:tcW w:w="13135" w:type="dxa"/>
            <w:gridSpan w:val="3"/>
          </w:tcPr>
          <w:p w14:paraId="5B836004" w14:textId="77777777" w:rsidR="0073255E" w:rsidRPr="00A76818" w:rsidRDefault="0073255E" w:rsidP="00585009">
            <w:pPr>
              <w:contextualSpacing/>
              <w:rPr>
                <w:rFonts w:ascii="Calibri" w:hAnsi="Calibri" w:cs="Calibri"/>
                <w:b w:val="0"/>
                <w:bCs w:val="0"/>
                <w:color w:val="000000" w:themeColor="text1"/>
              </w:rPr>
            </w:pPr>
            <w:r w:rsidRPr="00A76818">
              <w:rPr>
                <w:rFonts w:ascii="Calibri" w:hAnsi="Calibri" w:cs="Calibri"/>
                <w:b w:val="0"/>
                <w:bCs w:val="0"/>
                <w:color w:val="000000" w:themeColor="text1"/>
              </w:rPr>
              <w:t>Food The cost of providing households with meals or groceries</w:t>
            </w:r>
          </w:p>
        </w:tc>
      </w:tr>
      <w:tr w:rsidR="0073255E" w:rsidRPr="00A76818" w14:paraId="758E0BD6" w14:textId="77777777" w:rsidTr="00E90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5" w:type="dxa"/>
            <w:gridSpan w:val="3"/>
          </w:tcPr>
          <w:p w14:paraId="6ACA7F99" w14:textId="77777777" w:rsidR="0073255E" w:rsidRPr="00A76818" w:rsidRDefault="0073255E" w:rsidP="00585009">
            <w:pPr>
              <w:contextualSpacing/>
              <w:rPr>
                <w:rFonts w:ascii="Calibri" w:hAnsi="Calibri" w:cs="Calibri"/>
                <w:b w:val="0"/>
                <w:bCs w:val="0"/>
                <w:color w:val="000000" w:themeColor="text1"/>
              </w:rPr>
            </w:pPr>
            <w:r w:rsidRPr="00A76818">
              <w:rPr>
                <w:rFonts w:ascii="Calibri" w:hAnsi="Calibri" w:cs="Calibri"/>
                <w:b w:val="0"/>
                <w:bCs w:val="0"/>
                <w:color w:val="000000" w:themeColor="text1"/>
              </w:rPr>
              <w:t>Life Skills Training The costs of teaching critical life management skills that may never have been learned or have been lost during the course of physical or mental illness, domestic violence, substance abuse, and homelessness but that are necessary to function independently in the community</w:t>
            </w:r>
          </w:p>
        </w:tc>
      </w:tr>
      <w:tr w:rsidR="0073255E" w:rsidRPr="00A76818" w14:paraId="0996B2DB" w14:textId="77777777" w:rsidTr="00E90D39">
        <w:tc>
          <w:tcPr>
            <w:cnfStyle w:val="001000000000" w:firstRow="0" w:lastRow="0" w:firstColumn="1" w:lastColumn="0" w:oddVBand="0" w:evenVBand="0" w:oddHBand="0" w:evenHBand="0" w:firstRowFirstColumn="0" w:firstRowLastColumn="0" w:lastRowFirstColumn="0" w:lastRowLastColumn="0"/>
            <w:tcW w:w="13135" w:type="dxa"/>
            <w:gridSpan w:val="3"/>
          </w:tcPr>
          <w:p w14:paraId="6569094D" w14:textId="77777777" w:rsidR="0073255E" w:rsidRPr="00A76818" w:rsidRDefault="0073255E" w:rsidP="00585009">
            <w:pPr>
              <w:contextualSpacing/>
              <w:rPr>
                <w:rFonts w:ascii="Calibri" w:hAnsi="Calibri" w:cs="Calibri"/>
                <w:b w:val="0"/>
                <w:bCs w:val="0"/>
                <w:color w:val="000000" w:themeColor="text1"/>
              </w:rPr>
            </w:pPr>
            <w:r w:rsidRPr="00A76818">
              <w:rPr>
                <w:rFonts w:ascii="Calibri" w:hAnsi="Calibri" w:cs="Calibri"/>
                <w:b w:val="0"/>
                <w:bCs w:val="0"/>
                <w:color w:val="000000" w:themeColor="text1"/>
              </w:rPr>
              <w:t>Mental Health Services The direct outpatient treatment of mental health conditions by licensed professionals</w:t>
            </w:r>
          </w:p>
        </w:tc>
      </w:tr>
      <w:tr w:rsidR="0073255E" w:rsidRPr="00A76818" w14:paraId="53CC1589" w14:textId="77777777" w:rsidTr="00E90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5" w:type="dxa"/>
            <w:gridSpan w:val="3"/>
          </w:tcPr>
          <w:p w14:paraId="755833E7" w14:textId="77777777" w:rsidR="0073255E" w:rsidRPr="00A76818" w:rsidRDefault="0073255E" w:rsidP="00585009">
            <w:pPr>
              <w:contextualSpacing/>
              <w:rPr>
                <w:rFonts w:ascii="Calibri" w:hAnsi="Calibri" w:cs="Calibri"/>
                <w:b w:val="0"/>
                <w:bCs w:val="0"/>
                <w:color w:val="000000" w:themeColor="text1"/>
              </w:rPr>
            </w:pPr>
            <w:r w:rsidRPr="00A76818">
              <w:rPr>
                <w:rFonts w:ascii="Calibri" w:hAnsi="Calibri" w:cs="Calibri"/>
                <w:b w:val="0"/>
                <w:bCs w:val="0"/>
                <w:color w:val="000000" w:themeColor="text1"/>
              </w:rPr>
              <w:t>Outpatient Health Services The direct outpatient treatment of medical conditions by licensed medical professionals</w:t>
            </w:r>
          </w:p>
        </w:tc>
      </w:tr>
      <w:tr w:rsidR="0073255E" w:rsidRPr="00A76818" w14:paraId="0C736BD4" w14:textId="77777777" w:rsidTr="00E90D39">
        <w:tc>
          <w:tcPr>
            <w:cnfStyle w:val="001000000000" w:firstRow="0" w:lastRow="0" w:firstColumn="1" w:lastColumn="0" w:oddVBand="0" w:evenVBand="0" w:oddHBand="0" w:evenHBand="0" w:firstRowFirstColumn="0" w:firstRowLastColumn="0" w:lastRowFirstColumn="0" w:lastRowLastColumn="0"/>
            <w:tcW w:w="13135" w:type="dxa"/>
            <w:gridSpan w:val="3"/>
          </w:tcPr>
          <w:p w14:paraId="576302E8" w14:textId="77777777" w:rsidR="0073255E" w:rsidRPr="00A76818" w:rsidRDefault="0073255E" w:rsidP="00585009">
            <w:pPr>
              <w:contextualSpacing/>
              <w:rPr>
                <w:rFonts w:ascii="Calibri" w:hAnsi="Calibri" w:cs="Calibri"/>
                <w:b w:val="0"/>
                <w:bCs w:val="0"/>
                <w:color w:val="000000" w:themeColor="text1"/>
              </w:rPr>
            </w:pPr>
            <w:r w:rsidRPr="00A76818">
              <w:rPr>
                <w:rFonts w:ascii="Calibri" w:hAnsi="Calibri" w:cs="Calibri"/>
                <w:b w:val="0"/>
                <w:bCs w:val="0"/>
                <w:color w:val="000000" w:themeColor="text1"/>
              </w:rPr>
              <w:t>Outreach Services Activities to engage households for the purpose of providing immediate support and intervention and for identifying potential applicant households</w:t>
            </w:r>
          </w:p>
        </w:tc>
      </w:tr>
      <w:tr w:rsidR="0073255E" w:rsidRPr="00A76818" w14:paraId="68EB6975" w14:textId="77777777" w:rsidTr="00E90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5" w:type="dxa"/>
            <w:gridSpan w:val="3"/>
          </w:tcPr>
          <w:p w14:paraId="42FC6CEC" w14:textId="77777777" w:rsidR="0073255E" w:rsidRPr="00A76818" w:rsidRDefault="0073255E" w:rsidP="00585009">
            <w:pPr>
              <w:contextualSpacing/>
              <w:rPr>
                <w:rFonts w:ascii="Calibri" w:hAnsi="Calibri" w:cs="Calibri"/>
                <w:b w:val="0"/>
                <w:bCs w:val="0"/>
                <w:color w:val="000000" w:themeColor="text1"/>
              </w:rPr>
            </w:pPr>
            <w:r w:rsidRPr="00A76818">
              <w:rPr>
                <w:rFonts w:ascii="Calibri" w:hAnsi="Calibri" w:cs="Calibri"/>
                <w:b w:val="0"/>
                <w:bCs w:val="0"/>
                <w:color w:val="000000" w:themeColor="text1"/>
              </w:rPr>
              <w:t>Substance Abuse Treatment Services The costs of intake and assessment, outpatient treatment, group and individual counseling, and drug testing</w:t>
            </w:r>
          </w:p>
        </w:tc>
      </w:tr>
      <w:tr w:rsidR="0073255E" w:rsidRPr="00A76818" w14:paraId="3DFC0A19" w14:textId="77777777" w:rsidTr="00E90D39">
        <w:tc>
          <w:tcPr>
            <w:cnfStyle w:val="001000000000" w:firstRow="0" w:lastRow="0" w:firstColumn="1" w:lastColumn="0" w:oddVBand="0" w:evenVBand="0" w:oddHBand="0" w:evenHBand="0" w:firstRowFirstColumn="0" w:firstRowLastColumn="0" w:lastRowFirstColumn="0" w:lastRowLastColumn="0"/>
            <w:tcW w:w="13135" w:type="dxa"/>
            <w:gridSpan w:val="3"/>
          </w:tcPr>
          <w:p w14:paraId="2A399189" w14:textId="77777777" w:rsidR="0073255E" w:rsidRPr="00A76818" w:rsidRDefault="0073255E" w:rsidP="00585009">
            <w:pPr>
              <w:contextualSpacing/>
              <w:rPr>
                <w:rFonts w:ascii="Calibri" w:hAnsi="Calibri" w:cs="Calibri"/>
                <w:b w:val="0"/>
                <w:bCs w:val="0"/>
                <w:color w:val="000000" w:themeColor="text1"/>
              </w:rPr>
            </w:pPr>
            <w:r w:rsidRPr="00A76818">
              <w:rPr>
                <w:rFonts w:ascii="Calibri" w:hAnsi="Calibri" w:cs="Calibri"/>
                <w:b w:val="0"/>
                <w:bCs w:val="0"/>
                <w:color w:val="000000" w:themeColor="text1"/>
              </w:rPr>
              <w:t xml:space="preserve">Transportation </w:t>
            </w:r>
          </w:p>
          <w:p w14:paraId="7D90FB0D" w14:textId="77777777" w:rsidR="0073255E" w:rsidRPr="00A76818" w:rsidRDefault="0073255E" w:rsidP="00585009">
            <w:pPr>
              <w:contextualSpacing/>
              <w:rPr>
                <w:rFonts w:ascii="Calibri" w:hAnsi="Calibri" w:cs="Calibri"/>
                <w:b w:val="0"/>
                <w:bCs w:val="0"/>
                <w:color w:val="000000" w:themeColor="text1"/>
              </w:rPr>
            </w:pPr>
            <w:r w:rsidRPr="00A76818">
              <w:rPr>
                <w:rFonts w:ascii="Calibri" w:hAnsi="Calibri" w:cs="Calibri"/>
                <w:b w:val="0"/>
                <w:bCs w:val="0"/>
                <w:color w:val="000000" w:themeColor="text1"/>
              </w:rPr>
              <w:t>Costs of household’s travel on public transportation or in a vehicle provided by the service provider to and from medical care, employment, child care, or other eligible services</w:t>
            </w:r>
          </w:p>
        </w:tc>
      </w:tr>
    </w:tbl>
    <w:p w14:paraId="37E4C1F4" w14:textId="5DF191D1" w:rsidR="00B16267" w:rsidRDefault="00B16267" w:rsidP="0073255E">
      <w:pPr>
        <w:contextualSpacing/>
        <w:rPr>
          <w:rFonts w:ascii="Calibri" w:hAnsi="Calibri" w:cs="Calibri"/>
          <w:color w:val="000000" w:themeColor="text1"/>
        </w:rPr>
      </w:pPr>
    </w:p>
    <w:p w14:paraId="2B01C114" w14:textId="4FE9A6E7" w:rsidR="00B16267" w:rsidRPr="0061434B" w:rsidRDefault="00B16267">
      <w:pPr>
        <w:pStyle w:val="Heading2"/>
        <w:numPr>
          <w:ilvl w:val="0"/>
          <w:numId w:val="59"/>
        </w:numPr>
        <w:spacing w:before="0" w:line="240" w:lineRule="auto"/>
        <w:ind w:left="630"/>
        <w:contextualSpacing/>
        <w:rPr>
          <w:color w:val="0070C0"/>
        </w:rPr>
      </w:pPr>
      <w:bookmarkStart w:id="148" w:name="_Toc124255055"/>
      <w:r w:rsidRPr="0061434B">
        <w:rPr>
          <w:color w:val="0070C0"/>
        </w:rPr>
        <w:t>Duration of Assistance</w:t>
      </w:r>
      <w:bookmarkEnd w:id="148"/>
      <w:r w:rsidRPr="0061434B">
        <w:rPr>
          <w:color w:val="0070C0"/>
        </w:rPr>
        <w:t xml:space="preserve"> </w:t>
      </w:r>
    </w:p>
    <w:p w14:paraId="7D58E5C4" w14:textId="0131B0F5" w:rsidR="00B16267" w:rsidRPr="00B16267" w:rsidRDefault="00B16267">
      <w:pPr>
        <w:pStyle w:val="ListParagraph"/>
        <w:numPr>
          <w:ilvl w:val="0"/>
          <w:numId w:val="60"/>
        </w:numPr>
        <w:rPr>
          <w:rFonts w:ascii="Calibri" w:hAnsi="Calibri"/>
          <w:color w:val="000000" w:themeColor="text1"/>
        </w:rPr>
      </w:pPr>
      <w:r w:rsidRPr="00B16267">
        <w:rPr>
          <w:rFonts w:ascii="Calibri" w:hAnsi="Calibri" w:cs="Calibri"/>
          <w:color w:val="000000" w:themeColor="text1"/>
        </w:rPr>
        <w:t>Households and staff understand that the primary goals of rapid re-housing is to end homelessness and move households to permanent housing as quickly as possible, regardless of other personal issues or concerns.</w:t>
      </w:r>
    </w:p>
    <w:p w14:paraId="6A5E6784" w14:textId="34F46F27" w:rsidR="00B16267" w:rsidRPr="00B16267" w:rsidRDefault="00B16267">
      <w:pPr>
        <w:pStyle w:val="ListParagraph"/>
        <w:numPr>
          <w:ilvl w:val="0"/>
          <w:numId w:val="60"/>
        </w:numPr>
        <w:rPr>
          <w:rFonts w:ascii="Calibri" w:hAnsi="Calibri"/>
          <w:color w:val="000000" w:themeColor="text1"/>
        </w:rPr>
      </w:pPr>
      <w:r w:rsidRPr="00B16267">
        <w:rPr>
          <w:rFonts w:ascii="Calibri" w:hAnsi="Calibri" w:cs="Calibri"/>
          <w:color w:val="000000" w:themeColor="text1"/>
          <w:u w:val="single"/>
        </w:rPr>
        <w:lastRenderedPageBreak/>
        <w:t>Initial Assistance</w:t>
      </w:r>
      <w:r w:rsidRPr="00B16267">
        <w:rPr>
          <w:rFonts w:ascii="Calibri" w:hAnsi="Calibri" w:cs="Calibri"/>
          <w:color w:val="000000" w:themeColor="text1"/>
        </w:rPr>
        <w:t xml:space="preserve"> Initially, CoC-RRH and ESG-RRH assistance is limited to 3 months with mandatory quarterly review for all households seeking additional financial help.</w:t>
      </w:r>
    </w:p>
    <w:p w14:paraId="2058F14E" w14:textId="1FD57E76" w:rsidR="00B16267" w:rsidRPr="00B16267" w:rsidRDefault="00B16267">
      <w:pPr>
        <w:pStyle w:val="ListParagraph"/>
        <w:numPr>
          <w:ilvl w:val="2"/>
          <w:numId w:val="60"/>
        </w:numPr>
        <w:rPr>
          <w:rFonts w:ascii="Calibri" w:hAnsi="Calibri"/>
          <w:color w:val="000000" w:themeColor="text1"/>
        </w:rPr>
      </w:pPr>
      <w:r w:rsidRPr="00B16267">
        <w:rPr>
          <w:rFonts w:ascii="Calibri" w:hAnsi="Calibri" w:cs="Calibri"/>
          <w:color w:val="000000" w:themeColor="text1"/>
        </w:rPr>
        <w:t>Quarterly reviews may include income re-verification, home visit, discussion with landlord, financial goal setting, review of goals in Housing Stability Plan, referral to community resources and one-on-one housing counseling.</w:t>
      </w:r>
    </w:p>
    <w:p w14:paraId="5C614916" w14:textId="13155916" w:rsidR="00B16267" w:rsidRPr="00B16267" w:rsidRDefault="00B16267">
      <w:pPr>
        <w:pStyle w:val="ListParagraph"/>
        <w:numPr>
          <w:ilvl w:val="0"/>
          <w:numId w:val="60"/>
        </w:numPr>
        <w:rPr>
          <w:rFonts w:ascii="Calibri" w:hAnsi="Calibri"/>
          <w:color w:val="000000" w:themeColor="text1"/>
        </w:rPr>
      </w:pPr>
      <w:r w:rsidRPr="00B16267">
        <w:rPr>
          <w:rFonts w:ascii="Calibri" w:hAnsi="Calibri" w:cs="Calibri"/>
          <w:color w:val="000000" w:themeColor="text1"/>
          <w:u w:val="single"/>
        </w:rPr>
        <w:t>Extended Assistance</w:t>
      </w:r>
      <w:r w:rsidRPr="00B16267">
        <w:rPr>
          <w:rFonts w:ascii="Calibri" w:hAnsi="Calibri" w:cs="Calibri"/>
          <w:color w:val="000000" w:themeColor="text1"/>
        </w:rPr>
        <w:t xml:space="preserve"> Continued or increased financial assistance from CoC-RRH and ESG-RRH may be recommended by rental assistance staff when circumstances show a continuing or increasing need and program households demonstrate steps taken toward goals in the individualized Housing Stability Plan. All recommendations for extended assistance will be reviewed by managerial or administrative staff.</w:t>
      </w:r>
    </w:p>
    <w:p w14:paraId="35074A21" w14:textId="3B6451A0" w:rsidR="00B16267" w:rsidRPr="00B16267" w:rsidRDefault="00B16267">
      <w:pPr>
        <w:pStyle w:val="ListParagraph"/>
        <w:numPr>
          <w:ilvl w:val="2"/>
          <w:numId w:val="60"/>
        </w:numPr>
        <w:rPr>
          <w:rFonts w:ascii="Calibri" w:hAnsi="Calibri"/>
          <w:color w:val="000000" w:themeColor="text1"/>
        </w:rPr>
      </w:pPr>
      <w:r w:rsidRPr="00B16267">
        <w:rPr>
          <w:rFonts w:ascii="Calibri" w:hAnsi="Calibri" w:cs="Calibri"/>
          <w:color w:val="000000" w:themeColor="text1"/>
        </w:rPr>
        <w:t>Under no circumstances may more than 18 months of assistance be provided during any 3-year period.</w:t>
      </w:r>
    </w:p>
    <w:p w14:paraId="129C2AB7" w14:textId="24906EC8" w:rsidR="00B16267" w:rsidRPr="00B16267" w:rsidRDefault="00B16267">
      <w:pPr>
        <w:pStyle w:val="ListParagraph"/>
        <w:numPr>
          <w:ilvl w:val="0"/>
          <w:numId w:val="60"/>
        </w:numPr>
        <w:rPr>
          <w:rFonts w:ascii="Calibri" w:hAnsi="Calibri"/>
          <w:color w:val="000000" w:themeColor="text1"/>
        </w:rPr>
      </w:pPr>
      <w:r w:rsidRPr="00B16267">
        <w:rPr>
          <w:rFonts w:ascii="Calibri" w:hAnsi="Calibri" w:cs="Calibri"/>
          <w:color w:val="000000" w:themeColor="text1"/>
        </w:rPr>
        <w:t>For more information about program exits, please see “Standards for Termination of Assistance and Grievance Procedure” (pg. 13-14).</w:t>
      </w:r>
    </w:p>
    <w:p w14:paraId="07039A09" w14:textId="77777777" w:rsidR="00E90D39" w:rsidRPr="00A76818" w:rsidRDefault="00E90D39" w:rsidP="00E90D39">
      <w:pPr>
        <w:contextualSpacing/>
        <w:rPr>
          <w:rFonts w:ascii="Calibri" w:hAnsi="Calibri" w:cs="Calibri"/>
          <w:color w:val="000000" w:themeColor="text1"/>
        </w:rPr>
      </w:pPr>
    </w:p>
    <w:p w14:paraId="3038F3CF" w14:textId="078B326B" w:rsidR="00E90D39" w:rsidRPr="0061434B" w:rsidRDefault="00F61082" w:rsidP="00F61082">
      <w:pPr>
        <w:pStyle w:val="Heading2"/>
        <w:tabs>
          <w:tab w:val="left" w:pos="360"/>
          <w:tab w:val="left" w:pos="1440"/>
        </w:tabs>
        <w:spacing w:before="0" w:line="240" w:lineRule="auto"/>
        <w:contextualSpacing/>
        <w:rPr>
          <w:color w:val="0070C0"/>
        </w:rPr>
      </w:pPr>
      <w:r>
        <w:rPr>
          <w:color w:val="000000" w:themeColor="text1"/>
        </w:rPr>
        <w:tab/>
      </w:r>
      <w:bookmarkStart w:id="149" w:name="_Toc124255056"/>
      <w:r>
        <w:rPr>
          <w:color w:val="000000" w:themeColor="text1"/>
        </w:rPr>
        <w:t>7.</w:t>
      </w:r>
      <w:r w:rsidR="00E90D39" w:rsidRPr="0061434B">
        <w:rPr>
          <w:color w:val="0070C0"/>
        </w:rPr>
        <w:t>ESG-CV Standards for Rapid Rehousing</w:t>
      </w:r>
      <w:bookmarkEnd w:id="149"/>
    </w:p>
    <w:p w14:paraId="45E6149C" w14:textId="110A59FB" w:rsidR="00E90D39" w:rsidRDefault="00E90D39">
      <w:pPr>
        <w:pStyle w:val="ListParagraph"/>
        <w:numPr>
          <w:ilvl w:val="0"/>
          <w:numId w:val="103"/>
        </w:numPr>
        <w:rPr>
          <w:rFonts w:ascii="Calibri" w:hAnsi="Calibri" w:cs="Calibri"/>
          <w:color w:val="000000" w:themeColor="text1"/>
        </w:rPr>
      </w:pPr>
      <w:r>
        <w:rPr>
          <w:rFonts w:ascii="Calibri" w:hAnsi="Calibri" w:cs="Calibri"/>
          <w:color w:val="000000" w:themeColor="text1"/>
        </w:rPr>
        <w:t>Additional eligible activities:</w:t>
      </w:r>
    </w:p>
    <w:p w14:paraId="552A9B05" w14:textId="20E01E96" w:rsidR="00E90D39" w:rsidRPr="00E90D39" w:rsidRDefault="00E90D39">
      <w:pPr>
        <w:pStyle w:val="ListParagraph"/>
        <w:numPr>
          <w:ilvl w:val="1"/>
          <w:numId w:val="104"/>
        </w:numPr>
        <w:rPr>
          <w:rFonts w:ascii="Calibri" w:hAnsi="Calibri" w:cs="Calibri"/>
          <w:color w:val="000000" w:themeColor="text1"/>
        </w:rPr>
      </w:pPr>
      <w:r w:rsidRPr="000800C5">
        <w:rPr>
          <w:rFonts w:ascii="Calibri" w:hAnsi="Calibri" w:cs="Calibri"/>
          <w:b/>
          <w:bCs/>
        </w:rPr>
        <w:t>Infectious Disease Prevention Training:</w:t>
      </w:r>
      <w:r w:rsidRPr="000800C5">
        <w:rPr>
          <w:rFonts w:ascii="Calibri" w:hAnsi="Calibri" w:cs="Calibri"/>
        </w:rPr>
        <w:t xml:space="preserve"> ESG-CV funds may be used for training on infectious disease prevention and mitigation for staff working directly to prevent, prepare for, and respond to coronavirus among persons who are homeless or at risk of homelessness. Infectious Disease Prevention Training costs are to be tracked separately.</w:t>
      </w:r>
    </w:p>
    <w:p w14:paraId="51021910" w14:textId="6DD602EE" w:rsidR="00E90D39" w:rsidRPr="00E90D39" w:rsidRDefault="00E90D39">
      <w:pPr>
        <w:pStyle w:val="ListParagraph"/>
        <w:numPr>
          <w:ilvl w:val="1"/>
          <w:numId w:val="104"/>
        </w:numPr>
        <w:rPr>
          <w:rFonts w:ascii="Calibri" w:hAnsi="Calibri" w:cs="Calibri"/>
          <w:color w:val="000000" w:themeColor="text1"/>
        </w:rPr>
      </w:pPr>
      <w:r w:rsidRPr="000800C5">
        <w:rPr>
          <w:rFonts w:ascii="Calibri" w:hAnsi="Calibri" w:cs="Calibri"/>
          <w:b/>
          <w:bCs/>
        </w:rPr>
        <w:t>Hazard Pay:</w:t>
      </w:r>
      <w:r w:rsidRPr="000800C5">
        <w:rPr>
          <w:rFonts w:ascii="Calibri" w:hAnsi="Calibri" w:cs="Calibri"/>
        </w:rPr>
        <w:t xml:space="preserve"> ESG-CV funds may be used to provide hazard pay for staff working directly to prevent, prepare for, and respond to coronavirus among persons who are homeless or at risk of homelessness. Examples of staff working directly in support of coronavirus response include staff providing essential services (e.g. outpatient health, outpatient mental health, and housing navigators), staff working in proximity to persons with coronavirus, or staff working in locations with a high likelihood of contracting coronavirus.</w:t>
      </w:r>
    </w:p>
    <w:p w14:paraId="28290662" w14:textId="7D756364" w:rsidR="00E90D39" w:rsidRPr="00E90D39" w:rsidRDefault="00E90D39">
      <w:pPr>
        <w:pStyle w:val="ListParagraph"/>
        <w:numPr>
          <w:ilvl w:val="1"/>
          <w:numId w:val="104"/>
        </w:numPr>
        <w:rPr>
          <w:rFonts w:ascii="Calibri" w:hAnsi="Calibri" w:cs="Calibri"/>
          <w:color w:val="000000" w:themeColor="text1"/>
        </w:rPr>
      </w:pPr>
      <w:r w:rsidRPr="000800C5">
        <w:rPr>
          <w:rFonts w:ascii="Calibri" w:hAnsi="Calibri" w:cs="Calibri"/>
          <w:b/>
          <w:bCs/>
        </w:rPr>
        <w:t>Landlord Incentives:</w:t>
      </w:r>
      <w:r w:rsidRPr="000800C5">
        <w:rPr>
          <w:rFonts w:ascii="Calibri" w:hAnsi="Calibri" w:cs="Calibri"/>
        </w:rPr>
        <w:t xml:space="preserve"> ESG-CV funds may be used to pay landlord incentives, as is reasonable and necessary, to obtain housing for individuals and families experiencing homelessness and at risk of homelessness. ESG-CV funds may not be used to pay landlord incentives in an amount that exceeds three times the rent charged for the unit.</w:t>
      </w:r>
      <w:r>
        <w:rPr>
          <w:rFonts w:ascii="Calibri" w:hAnsi="Calibri" w:cs="Calibri"/>
        </w:rPr>
        <w:t xml:space="preserve">  </w:t>
      </w:r>
      <w:r w:rsidRPr="00E90D39">
        <w:rPr>
          <w:rFonts w:ascii="Calibri" w:hAnsi="Calibri" w:cs="Calibri"/>
        </w:rPr>
        <w:t>Eligible landlord incentive costs include:</w:t>
      </w:r>
    </w:p>
    <w:p w14:paraId="335ED588" w14:textId="42E2DC71" w:rsidR="00E90D39" w:rsidRPr="00E90D39" w:rsidRDefault="00E90D39">
      <w:pPr>
        <w:pStyle w:val="ListParagraph"/>
        <w:numPr>
          <w:ilvl w:val="2"/>
          <w:numId w:val="105"/>
        </w:numPr>
        <w:rPr>
          <w:rFonts w:ascii="Calibri" w:hAnsi="Calibri" w:cs="Calibri"/>
          <w:color w:val="000000" w:themeColor="text1"/>
        </w:rPr>
      </w:pPr>
      <w:r w:rsidRPr="00A3576B">
        <w:rPr>
          <w:rFonts w:ascii="Calibri" w:hAnsi="Calibri" w:cs="Calibri"/>
        </w:rPr>
        <w:t>Signing bonuses equal to up to 2 months of rent</w:t>
      </w:r>
    </w:p>
    <w:p w14:paraId="142FA5E8" w14:textId="3942353B" w:rsidR="00E90D39" w:rsidRPr="00E90D39" w:rsidRDefault="00E90D39">
      <w:pPr>
        <w:pStyle w:val="ListParagraph"/>
        <w:numPr>
          <w:ilvl w:val="2"/>
          <w:numId w:val="105"/>
        </w:numPr>
        <w:rPr>
          <w:rFonts w:ascii="Calibri" w:hAnsi="Calibri" w:cs="Calibri"/>
          <w:color w:val="000000" w:themeColor="text1"/>
        </w:rPr>
      </w:pPr>
      <w:r w:rsidRPr="00A3576B">
        <w:rPr>
          <w:rFonts w:ascii="Calibri" w:hAnsi="Calibri" w:cs="Calibri"/>
        </w:rPr>
        <w:t>Security deposits equal to up to 3 months of rent</w:t>
      </w:r>
    </w:p>
    <w:p w14:paraId="3C00E2D7" w14:textId="52720494" w:rsidR="00E90D39" w:rsidRPr="00E90D39" w:rsidRDefault="00E90D39">
      <w:pPr>
        <w:pStyle w:val="ListParagraph"/>
        <w:numPr>
          <w:ilvl w:val="2"/>
          <w:numId w:val="105"/>
        </w:numPr>
        <w:rPr>
          <w:rFonts w:ascii="Calibri" w:hAnsi="Calibri" w:cs="Calibri"/>
          <w:color w:val="000000" w:themeColor="text1"/>
        </w:rPr>
      </w:pPr>
      <w:r w:rsidRPr="00A3576B">
        <w:rPr>
          <w:rFonts w:ascii="Calibri" w:hAnsi="Calibri" w:cs="Calibri"/>
        </w:rPr>
        <w:t>Paying the cost to repair damages incurred by the program participant not covered by the security deposit or that are incurred while the program participant is still residing in the unit</w:t>
      </w:r>
    </w:p>
    <w:p w14:paraId="7B26754F" w14:textId="25677A86" w:rsidR="00E90D39" w:rsidRDefault="00E90D39">
      <w:pPr>
        <w:pStyle w:val="ListParagraph"/>
        <w:numPr>
          <w:ilvl w:val="2"/>
          <w:numId w:val="105"/>
        </w:numPr>
        <w:rPr>
          <w:rFonts w:ascii="Calibri" w:hAnsi="Calibri" w:cs="Calibri"/>
          <w:color w:val="000000" w:themeColor="text1"/>
        </w:rPr>
      </w:pPr>
      <w:r w:rsidRPr="00A3576B">
        <w:rPr>
          <w:rFonts w:ascii="Calibri" w:hAnsi="Calibri" w:cs="Calibri"/>
        </w:rPr>
        <w:t>Paying the costs of extra cleaning or maintenance of a program participant’s unit or appliances</w:t>
      </w:r>
    </w:p>
    <w:p w14:paraId="13EE09F1" w14:textId="35E8C9F9" w:rsidR="00E90D39" w:rsidRDefault="00E90D39">
      <w:pPr>
        <w:pStyle w:val="ListParagraph"/>
        <w:numPr>
          <w:ilvl w:val="1"/>
          <w:numId w:val="104"/>
        </w:numPr>
        <w:rPr>
          <w:rFonts w:ascii="Calibri" w:hAnsi="Calibri" w:cs="Calibri"/>
          <w:color w:val="000000" w:themeColor="text1"/>
        </w:rPr>
      </w:pPr>
      <w:r w:rsidRPr="000800C5">
        <w:rPr>
          <w:rFonts w:ascii="Calibri" w:hAnsi="Calibri" w:cs="Calibri"/>
          <w:b/>
          <w:bCs/>
        </w:rPr>
        <w:lastRenderedPageBreak/>
        <w:t>Volunteer Incentives:</w:t>
      </w:r>
      <w:r w:rsidRPr="000800C5">
        <w:rPr>
          <w:rFonts w:ascii="Calibri" w:hAnsi="Calibri" w:cs="Calibri"/>
        </w:rPr>
        <w:t xml:space="preserve"> ESG-CV funds may be used to pay for the cost of providing reasonable incentives to volunteers (e.g., cash or gift cards), who are helping to provide necessary essential services or housing relocation and stabilization services during the coronavirus outbreak. The provision to allow the payment for reasonable volunteer incentive costs will increase the number of people available to provide the needed services and connections to housing for individuals and families experiencing homelessness to prevent the spread of coronavirus. In addition, this provision acknowledges that the normal volunteer pool available to grantees may not be available.</w:t>
      </w:r>
      <w:r w:rsidRPr="00DF0C3C">
        <w:rPr>
          <w:rFonts w:ascii="Calibri" w:hAnsi="Calibri" w:cs="Calibri"/>
          <w:color w:val="000000" w:themeColor="text1"/>
        </w:rPr>
        <w:t xml:space="preserve"> </w:t>
      </w:r>
    </w:p>
    <w:p w14:paraId="1D01C70B" w14:textId="52083048" w:rsidR="00E90D39" w:rsidRPr="00E90D39" w:rsidRDefault="00E90D39">
      <w:pPr>
        <w:pStyle w:val="ListParagraph"/>
        <w:numPr>
          <w:ilvl w:val="0"/>
          <w:numId w:val="104"/>
        </w:numPr>
        <w:rPr>
          <w:rFonts w:ascii="Calibri" w:hAnsi="Calibri" w:cs="Calibri"/>
          <w:color w:val="000000" w:themeColor="text1"/>
        </w:rPr>
      </w:pPr>
      <w:r w:rsidRPr="00E90D39">
        <w:rPr>
          <w:rFonts w:ascii="Calibri" w:hAnsi="Calibri" w:cs="Calibri"/>
        </w:rPr>
        <w:t>Participant Eligibility</w:t>
      </w:r>
      <w:r>
        <w:rPr>
          <w:rFonts w:ascii="Calibri" w:hAnsi="Calibri" w:cs="Calibri"/>
        </w:rPr>
        <w:t xml:space="preserve">: </w:t>
      </w:r>
      <w:r w:rsidRPr="00E90D39">
        <w:rPr>
          <w:rFonts w:ascii="Calibri" w:hAnsi="Calibri" w:cs="Calibri"/>
        </w:rPr>
        <w:t xml:space="preserve">To be eligible for rapid rehousing services individuals must be “homeless”, based on category 1 of the “homeless” definition found at 24 CFR 576.2. In addition, to be eligible for the following activities, individuals must be moving into a housing unit that meets ESG standards for permanent housing (24 CFR 576.403(c)) and lead-based paint standards (24 CFR 576.403(a)).  </w:t>
      </w:r>
    </w:p>
    <w:p w14:paraId="08B60B8A" w14:textId="18451807" w:rsidR="00E90D39" w:rsidRPr="00E90D39" w:rsidRDefault="00E90D39">
      <w:pPr>
        <w:pStyle w:val="ListParagraph"/>
        <w:numPr>
          <w:ilvl w:val="1"/>
          <w:numId w:val="104"/>
        </w:numPr>
        <w:rPr>
          <w:rFonts w:ascii="Calibri" w:hAnsi="Calibri" w:cs="Calibri"/>
          <w:color w:val="000000" w:themeColor="text1"/>
        </w:rPr>
      </w:pPr>
      <w:r w:rsidRPr="00E90D39">
        <w:rPr>
          <w:rFonts w:ascii="Calibri" w:hAnsi="Calibri" w:cs="Calibri"/>
        </w:rPr>
        <w:t>Financial Assistance: moving costs, rental application fees, security deposits.</w:t>
      </w:r>
    </w:p>
    <w:p w14:paraId="2DB788BB" w14:textId="78AE3C17" w:rsidR="00E90D39" w:rsidRPr="00E90D39" w:rsidRDefault="00E90D39">
      <w:pPr>
        <w:pStyle w:val="ListParagraph"/>
        <w:numPr>
          <w:ilvl w:val="1"/>
          <w:numId w:val="104"/>
        </w:numPr>
        <w:rPr>
          <w:rFonts w:ascii="Calibri" w:hAnsi="Calibri" w:cs="Calibri"/>
          <w:color w:val="000000" w:themeColor="text1"/>
        </w:rPr>
      </w:pPr>
      <w:r w:rsidRPr="00E90D39">
        <w:rPr>
          <w:rFonts w:ascii="Calibri" w:hAnsi="Calibri" w:cs="Calibri"/>
        </w:rPr>
        <w:t>Housing Relocation: and Stabilization Services: housing search/placement, housing stability case management, mediation and legal services, credit repair/budgeting/money management</w:t>
      </w:r>
    </w:p>
    <w:p w14:paraId="4F442C6D" w14:textId="66812482" w:rsidR="00E90D39" w:rsidRPr="00E90D39" w:rsidRDefault="00E90D39">
      <w:pPr>
        <w:pStyle w:val="ListParagraph"/>
        <w:numPr>
          <w:ilvl w:val="1"/>
          <w:numId w:val="104"/>
        </w:numPr>
        <w:rPr>
          <w:rFonts w:ascii="Calibri" w:hAnsi="Calibri" w:cs="Calibri"/>
          <w:color w:val="000000" w:themeColor="text1"/>
        </w:rPr>
      </w:pPr>
      <w:r w:rsidRPr="00E90D39">
        <w:rPr>
          <w:rFonts w:ascii="Calibri" w:hAnsi="Calibri" w:cs="Calibri"/>
        </w:rPr>
        <w:t>Rental Assistance: Short-term (up to 3 months) and medium-term (4-24 months) rental assistance</w:t>
      </w:r>
    </w:p>
    <w:p w14:paraId="03627D86" w14:textId="16C72175" w:rsidR="00E90D39" w:rsidRPr="00E90D39" w:rsidRDefault="00E90D39">
      <w:pPr>
        <w:pStyle w:val="ListParagraph"/>
        <w:numPr>
          <w:ilvl w:val="1"/>
          <w:numId w:val="104"/>
        </w:numPr>
        <w:rPr>
          <w:rFonts w:ascii="Calibri" w:hAnsi="Calibri" w:cs="Calibri"/>
          <w:color w:val="000000" w:themeColor="text1"/>
        </w:rPr>
      </w:pPr>
      <w:r w:rsidRPr="00E90D39">
        <w:rPr>
          <w:rFonts w:ascii="Calibri" w:hAnsi="Calibri" w:cs="Calibri"/>
        </w:rPr>
        <w:t>Housing search and placement services: Payment shall only be made for assisting participants to</w:t>
      </w:r>
      <w:r w:rsidRPr="000800C5">
        <w:rPr>
          <w:rFonts w:ascii="Calibri" w:hAnsi="Calibri" w:cs="Calibri"/>
        </w:rPr>
        <w:t xml:space="preserve"> locate, obtain and retain suitable permanent housing through provision of the following services:</w:t>
      </w:r>
    </w:p>
    <w:p w14:paraId="705B50E1" w14:textId="45E2DDED" w:rsidR="00E90D39" w:rsidRPr="00E90D39" w:rsidRDefault="00E90D39">
      <w:pPr>
        <w:pStyle w:val="ListParagraph"/>
        <w:numPr>
          <w:ilvl w:val="2"/>
          <w:numId w:val="106"/>
        </w:numPr>
        <w:rPr>
          <w:rFonts w:ascii="Calibri" w:hAnsi="Calibri" w:cs="Calibri"/>
          <w:color w:val="000000" w:themeColor="text1"/>
        </w:rPr>
      </w:pPr>
      <w:r w:rsidRPr="000800C5">
        <w:rPr>
          <w:rFonts w:ascii="Calibri" w:hAnsi="Calibri" w:cs="Calibri"/>
        </w:rPr>
        <w:t>Assessment of housing barriers, needs and preferences</w:t>
      </w:r>
    </w:p>
    <w:p w14:paraId="2B68B986" w14:textId="1ED433F3" w:rsidR="00E90D39" w:rsidRPr="00E90D39" w:rsidRDefault="00E90D39">
      <w:pPr>
        <w:pStyle w:val="ListParagraph"/>
        <w:numPr>
          <w:ilvl w:val="2"/>
          <w:numId w:val="106"/>
        </w:numPr>
        <w:rPr>
          <w:rFonts w:ascii="Calibri" w:hAnsi="Calibri" w:cs="Calibri"/>
          <w:color w:val="000000" w:themeColor="text1"/>
        </w:rPr>
      </w:pPr>
      <w:r w:rsidRPr="000800C5">
        <w:rPr>
          <w:rFonts w:ascii="Calibri" w:hAnsi="Calibri" w:cs="Calibri"/>
        </w:rPr>
        <w:t>Development of an action plan for locating housing</w:t>
      </w:r>
    </w:p>
    <w:p w14:paraId="4DD9C605" w14:textId="77AE3DC4" w:rsidR="00E90D39" w:rsidRPr="00E90D39" w:rsidRDefault="00E90D39">
      <w:pPr>
        <w:pStyle w:val="ListParagraph"/>
        <w:numPr>
          <w:ilvl w:val="2"/>
          <w:numId w:val="106"/>
        </w:numPr>
        <w:rPr>
          <w:rFonts w:ascii="Calibri" w:hAnsi="Calibri" w:cs="Calibri"/>
          <w:color w:val="000000" w:themeColor="text1"/>
        </w:rPr>
      </w:pPr>
      <w:r w:rsidRPr="000800C5">
        <w:rPr>
          <w:rFonts w:ascii="Calibri" w:hAnsi="Calibri" w:cs="Calibri"/>
        </w:rPr>
        <w:t>Housing search</w:t>
      </w:r>
    </w:p>
    <w:p w14:paraId="72848EFF" w14:textId="41C0B228" w:rsidR="00E90D39" w:rsidRPr="00E90D39" w:rsidRDefault="00E90D39">
      <w:pPr>
        <w:pStyle w:val="ListParagraph"/>
        <w:numPr>
          <w:ilvl w:val="2"/>
          <w:numId w:val="106"/>
        </w:numPr>
        <w:rPr>
          <w:rFonts w:ascii="Calibri" w:hAnsi="Calibri" w:cs="Calibri"/>
          <w:color w:val="000000" w:themeColor="text1"/>
        </w:rPr>
      </w:pPr>
      <w:r w:rsidRPr="000800C5">
        <w:rPr>
          <w:rFonts w:ascii="Calibri" w:hAnsi="Calibri" w:cs="Calibri"/>
        </w:rPr>
        <w:t>Outreach to and negotiation with owners</w:t>
      </w:r>
    </w:p>
    <w:p w14:paraId="187F8AEA" w14:textId="537BA8E8" w:rsidR="00E90D39" w:rsidRPr="00E90D39" w:rsidRDefault="00E90D39">
      <w:pPr>
        <w:pStyle w:val="ListParagraph"/>
        <w:numPr>
          <w:ilvl w:val="2"/>
          <w:numId w:val="106"/>
        </w:numPr>
        <w:rPr>
          <w:rFonts w:ascii="Calibri" w:hAnsi="Calibri" w:cs="Calibri"/>
          <w:color w:val="000000" w:themeColor="text1"/>
        </w:rPr>
      </w:pPr>
      <w:r w:rsidRPr="000800C5">
        <w:rPr>
          <w:rFonts w:ascii="Calibri" w:hAnsi="Calibri" w:cs="Calibri"/>
        </w:rPr>
        <w:t>Assistance with submitting rental applications and understanding leases</w:t>
      </w:r>
    </w:p>
    <w:p w14:paraId="4A0BA2F9" w14:textId="5D0E199E" w:rsidR="00E90D39" w:rsidRPr="00E90D39" w:rsidRDefault="00E90D39">
      <w:pPr>
        <w:pStyle w:val="ListParagraph"/>
        <w:numPr>
          <w:ilvl w:val="1"/>
          <w:numId w:val="104"/>
        </w:numPr>
        <w:rPr>
          <w:rFonts w:ascii="Calibri" w:hAnsi="Calibri" w:cs="Calibri"/>
          <w:color w:val="000000" w:themeColor="text1"/>
        </w:rPr>
      </w:pPr>
      <w:r w:rsidRPr="000800C5">
        <w:rPr>
          <w:rFonts w:ascii="Calibri" w:hAnsi="Calibri" w:cs="Calibri"/>
        </w:rPr>
        <w:t>Assessment of housing for compliance with ESG standards for permanent housing, lead-based paint remediation and disclosure, and rent reasonableness</w:t>
      </w:r>
    </w:p>
    <w:p w14:paraId="00F9A6CE" w14:textId="3EB6B508" w:rsidR="00E90D39" w:rsidRPr="00E90D39" w:rsidRDefault="00E90D39">
      <w:pPr>
        <w:pStyle w:val="ListParagraph"/>
        <w:numPr>
          <w:ilvl w:val="1"/>
          <w:numId w:val="104"/>
        </w:numPr>
        <w:rPr>
          <w:rFonts w:ascii="Calibri" w:hAnsi="Calibri" w:cs="Calibri"/>
          <w:color w:val="000000" w:themeColor="text1"/>
        </w:rPr>
      </w:pPr>
      <w:r w:rsidRPr="000800C5">
        <w:rPr>
          <w:rFonts w:ascii="Calibri" w:hAnsi="Calibri" w:cs="Calibri"/>
        </w:rPr>
        <w:t>Assistance with obtaining utilities and making moving arrangements</w:t>
      </w:r>
    </w:p>
    <w:p w14:paraId="024BC535" w14:textId="50E93187" w:rsidR="00E90D39" w:rsidRPr="00E90D39" w:rsidRDefault="00E90D39">
      <w:pPr>
        <w:pStyle w:val="ListParagraph"/>
        <w:numPr>
          <w:ilvl w:val="0"/>
          <w:numId w:val="104"/>
        </w:numPr>
        <w:rPr>
          <w:rFonts w:ascii="Calibri" w:hAnsi="Calibri" w:cs="Calibri"/>
          <w:color w:val="000000" w:themeColor="text1"/>
        </w:rPr>
      </w:pPr>
      <w:r>
        <w:rPr>
          <w:rFonts w:ascii="Calibri" w:hAnsi="Calibri" w:cs="Calibri"/>
        </w:rPr>
        <w:t>Housing stability case management</w:t>
      </w:r>
    </w:p>
    <w:p w14:paraId="1D1DEC39" w14:textId="02E71F6F" w:rsidR="00E90D39" w:rsidRPr="00E90D39" w:rsidRDefault="00E90D39">
      <w:pPr>
        <w:pStyle w:val="ListParagraph"/>
        <w:numPr>
          <w:ilvl w:val="1"/>
          <w:numId w:val="104"/>
        </w:numPr>
        <w:rPr>
          <w:rFonts w:ascii="Calibri" w:hAnsi="Calibri" w:cs="Calibri"/>
          <w:color w:val="000000" w:themeColor="text1"/>
        </w:rPr>
      </w:pPr>
      <w:r w:rsidRPr="000800C5">
        <w:rPr>
          <w:rFonts w:ascii="Calibri" w:hAnsi="Calibri" w:cs="Calibri"/>
        </w:rPr>
        <w:t>Payment for housing stability case management services provided while the participant is seeking permanent housing shall not exceed 30 days.  Payment shall only be made for assessing, arranging, coordinating, and monitoring the delivery of individualized services to facilitate housing stability for a participant who resides in permanent housing or to assist a participant in overcoming immediate barriers to obtaining housing through provision of the following services:</w:t>
      </w:r>
    </w:p>
    <w:p w14:paraId="77AD9C8B" w14:textId="1629774D" w:rsidR="00E90D39" w:rsidRPr="00E90D39" w:rsidRDefault="00E90D39">
      <w:pPr>
        <w:pStyle w:val="ListParagraph"/>
        <w:numPr>
          <w:ilvl w:val="2"/>
          <w:numId w:val="107"/>
        </w:numPr>
        <w:rPr>
          <w:rFonts w:ascii="Calibri" w:hAnsi="Calibri" w:cs="Calibri"/>
          <w:color w:val="000000" w:themeColor="text1"/>
        </w:rPr>
      </w:pPr>
      <w:r w:rsidRPr="000800C5">
        <w:rPr>
          <w:rFonts w:ascii="Calibri" w:hAnsi="Calibri" w:cs="Calibri"/>
        </w:rPr>
        <w:t xml:space="preserve">Using the </w:t>
      </w:r>
      <w:r w:rsidRPr="00723AA4">
        <w:rPr>
          <w:rFonts w:ascii="Calibri" w:hAnsi="Calibri" w:cs="Calibri"/>
        </w:rPr>
        <w:t>All Doors Lead Home Coordinated Entry System</w:t>
      </w:r>
    </w:p>
    <w:p w14:paraId="4FD2905A" w14:textId="24B20A9A" w:rsidR="00E90D39" w:rsidRPr="00E90D39" w:rsidRDefault="00E90D39">
      <w:pPr>
        <w:pStyle w:val="ListParagraph"/>
        <w:numPr>
          <w:ilvl w:val="2"/>
          <w:numId w:val="107"/>
        </w:numPr>
        <w:rPr>
          <w:rFonts w:ascii="Calibri" w:hAnsi="Calibri" w:cs="Calibri"/>
          <w:color w:val="000000" w:themeColor="text1"/>
        </w:rPr>
      </w:pPr>
      <w:r w:rsidRPr="000800C5">
        <w:rPr>
          <w:rFonts w:ascii="Calibri" w:hAnsi="Calibri" w:cs="Calibri"/>
        </w:rPr>
        <w:t>Conducting the initial evaluation, including verifying and documenting participant eligibility</w:t>
      </w:r>
    </w:p>
    <w:p w14:paraId="5D4D8CA3" w14:textId="17A9AC80" w:rsidR="00E90D39" w:rsidRPr="00E90D39" w:rsidRDefault="00E90D39">
      <w:pPr>
        <w:pStyle w:val="ListParagraph"/>
        <w:numPr>
          <w:ilvl w:val="2"/>
          <w:numId w:val="107"/>
        </w:numPr>
        <w:rPr>
          <w:rFonts w:ascii="Calibri" w:hAnsi="Calibri" w:cs="Calibri"/>
          <w:color w:val="000000" w:themeColor="text1"/>
        </w:rPr>
      </w:pPr>
      <w:r w:rsidRPr="000800C5">
        <w:rPr>
          <w:rFonts w:ascii="Calibri" w:hAnsi="Calibri" w:cs="Calibri"/>
        </w:rPr>
        <w:t>Counseling</w:t>
      </w:r>
    </w:p>
    <w:p w14:paraId="634B6684" w14:textId="102AE31D" w:rsidR="00E90D39" w:rsidRPr="00E90D39" w:rsidRDefault="00E90D39">
      <w:pPr>
        <w:pStyle w:val="ListParagraph"/>
        <w:numPr>
          <w:ilvl w:val="2"/>
          <w:numId w:val="107"/>
        </w:numPr>
        <w:rPr>
          <w:rFonts w:ascii="Calibri" w:hAnsi="Calibri" w:cs="Calibri"/>
          <w:color w:val="000000" w:themeColor="text1"/>
        </w:rPr>
      </w:pPr>
      <w:r w:rsidRPr="000800C5">
        <w:rPr>
          <w:rFonts w:ascii="Calibri" w:hAnsi="Calibri" w:cs="Calibri"/>
        </w:rPr>
        <w:lastRenderedPageBreak/>
        <w:t>Developing, securing, and coordinating services and obtaining Federal, State, and local benefits</w:t>
      </w:r>
    </w:p>
    <w:p w14:paraId="585778F8" w14:textId="4F9AF1CC" w:rsidR="00E90D39" w:rsidRPr="00E90D39" w:rsidRDefault="00E90D39">
      <w:pPr>
        <w:pStyle w:val="ListParagraph"/>
        <w:numPr>
          <w:ilvl w:val="2"/>
          <w:numId w:val="107"/>
        </w:numPr>
        <w:rPr>
          <w:rFonts w:ascii="Calibri" w:hAnsi="Calibri" w:cs="Calibri"/>
          <w:color w:val="000000" w:themeColor="text1"/>
        </w:rPr>
      </w:pPr>
      <w:r w:rsidRPr="000800C5">
        <w:rPr>
          <w:rFonts w:ascii="Calibri" w:hAnsi="Calibri" w:cs="Calibri"/>
        </w:rPr>
        <w:t>Monitoring and evaluating participant progress</w:t>
      </w:r>
    </w:p>
    <w:p w14:paraId="063AF595" w14:textId="3B011683" w:rsidR="00E90D39" w:rsidRPr="00E90D39" w:rsidRDefault="00E90D39">
      <w:pPr>
        <w:pStyle w:val="ListParagraph"/>
        <w:numPr>
          <w:ilvl w:val="2"/>
          <w:numId w:val="107"/>
        </w:numPr>
        <w:rPr>
          <w:rFonts w:ascii="Calibri" w:hAnsi="Calibri" w:cs="Calibri"/>
          <w:color w:val="000000" w:themeColor="text1"/>
        </w:rPr>
      </w:pPr>
      <w:r w:rsidRPr="000800C5">
        <w:rPr>
          <w:rFonts w:ascii="Calibri" w:hAnsi="Calibri" w:cs="Calibri"/>
        </w:rPr>
        <w:t>Providing information and referral to other providers</w:t>
      </w:r>
    </w:p>
    <w:p w14:paraId="33C96D84" w14:textId="7A6E248D" w:rsidR="00E90D39" w:rsidRPr="00E90D39" w:rsidRDefault="00E90D39">
      <w:pPr>
        <w:pStyle w:val="ListParagraph"/>
        <w:numPr>
          <w:ilvl w:val="2"/>
          <w:numId w:val="107"/>
        </w:numPr>
        <w:rPr>
          <w:rFonts w:ascii="Calibri" w:hAnsi="Calibri" w:cs="Calibri"/>
          <w:color w:val="000000" w:themeColor="text1"/>
        </w:rPr>
      </w:pPr>
      <w:r w:rsidRPr="000800C5">
        <w:rPr>
          <w:rFonts w:ascii="Calibri" w:hAnsi="Calibri" w:cs="Calibri"/>
        </w:rPr>
        <w:t>Developing an individualized housing and service plan</w:t>
      </w:r>
    </w:p>
    <w:p w14:paraId="6E7D37F8" w14:textId="1DF7AC03" w:rsidR="00E90D39" w:rsidRPr="00E90D39" w:rsidRDefault="00E90D39">
      <w:pPr>
        <w:pStyle w:val="ListParagraph"/>
        <w:numPr>
          <w:ilvl w:val="2"/>
          <w:numId w:val="107"/>
        </w:numPr>
        <w:rPr>
          <w:rFonts w:ascii="Calibri" w:hAnsi="Calibri" w:cs="Calibri"/>
          <w:color w:val="000000" w:themeColor="text1"/>
        </w:rPr>
      </w:pPr>
      <w:r w:rsidRPr="000800C5">
        <w:rPr>
          <w:rFonts w:ascii="Calibri" w:hAnsi="Calibri" w:cs="Calibri"/>
        </w:rPr>
        <w:t>Conducting re-evaluations</w:t>
      </w:r>
    </w:p>
    <w:p w14:paraId="418EA065" w14:textId="6DC9EA58" w:rsidR="00E90D39" w:rsidRPr="00E90D39" w:rsidRDefault="00E90D39">
      <w:pPr>
        <w:pStyle w:val="ListParagraph"/>
        <w:numPr>
          <w:ilvl w:val="1"/>
          <w:numId w:val="104"/>
        </w:numPr>
        <w:rPr>
          <w:rFonts w:ascii="Calibri" w:hAnsi="Calibri" w:cs="Calibri"/>
          <w:color w:val="000000" w:themeColor="text1"/>
        </w:rPr>
      </w:pPr>
      <w:r w:rsidRPr="00E90D39">
        <w:rPr>
          <w:rFonts w:ascii="Calibri" w:hAnsi="Calibri" w:cs="Calibri"/>
          <w:u w:val="single"/>
        </w:rPr>
        <w:t>Mediation</w:t>
      </w:r>
      <w:r w:rsidRPr="000800C5">
        <w:rPr>
          <w:rFonts w:ascii="Calibri" w:hAnsi="Calibri" w:cs="Calibri"/>
        </w:rPr>
        <w:t>: Payment shall only be made for the cost of mediation between the participant and the owner or person with whom the participant is living, if it is necessary to prevent the participant from losing the permanent housing where he/she resides.</w:t>
      </w:r>
    </w:p>
    <w:p w14:paraId="763020A3" w14:textId="71CB11BE" w:rsidR="00E90D39" w:rsidRPr="00E90D39" w:rsidRDefault="00E90D39">
      <w:pPr>
        <w:pStyle w:val="ListParagraph"/>
        <w:numPr>
          <w:ilvl w:val="1"/>
          <w:numId w:val="104"/>
        </w:numPr>
        <w:rPr>
          <w:rFonts w:ascii="Calibri" w:hAnsi="Calibri" w:cs="Calibri"/>
          <w:color w:val="000000" w:themeColor="text1"/>
        </w:rPr>
      </w:pPr>
      <w:r w:rsidRPr="00E90D39">
        <w:rPr>
          <w:rFonts w:ascii="Calibri" w:hAnsi="Calibri" w:cs="Calibri"/>
          <w:u w:val="single"/>
        </w:rPr>
        <w:t>Legal services</w:t>
      </w:r>
      <w:r w:rsidRPr="000800C5">
        <w:rPr>
          <w:rFonts w:ascii="Calibri" w:hAnsi="Calibri" w:cs="Calibri"/>
        </w:rPr>
        <w:t>: Payment shall only be made for the cost of legal services, if they are necessary to resolve a legal problem that prohibits the participant from obtaining permanent housing or will likely result in the participant losing the permanent housing where he/she resides. Assistance may NOT be provided for immigration, citizenship, or mortgage related matters. Payment arrangements may NOT include retainer or contingency fee agreements. Eligible subject matters for legal services include child support, guardianship, paternity, emancipation, legal separation, orders of protection for victims of domestic violence, appeal of benefit claim denials, landlord tenant disputes and resolution of outstanding criminal warrants. Only approved Legal Services provider through NHAP can provide ESG legal services.</w:t>
      </w:r>
    </w:p>
    <w:p w14:paraId="16749F8F" w14:textId="62CECA96" w:rsidR="00E90D39" w:rsidRPr="00E90D39" w:rsidRDefault="00E90D39">
      <w:pPr>
        <w:pStyle w:val="ListParagraph"/>
        <w:numPr>
          <w:ilvl w:val="1"/>
          <w:numId w:val="104"/>
        </w:numPr>
        <w:rPr>
          <w:rFonts w:ascii="Calibri" w:hAnsi="Calibri" w:cs="Calibri"/>
          <w:color w:val="000000" w:themeColor="text1"/>
        </w:rPr>
      </w:pPr>
      <w:r w:rsidRPr="00E90D39">
        <w:rPr>
          <w:rFonts w:ascii="Calibri" w:hAnsi="Calibri" w:cs="Calibri"/>
          <w:u w:val="single"/>
        </w:rPr>
        <w:t>Credit repair</w:t>
      </w:r>
      <w:r w:rsidRPr="000800C5">
        <w:rPr>
          <w:rFonts w:ascii="Calibri" w:hAnsi="Calibri" w:cs="Calibri"/>
        </w:rPr>
        <w:t>: Payment shall only be made for the cost of assisting the participant in obtaining skills related to household budgeting, managing money, accessing a free personal credit report and resolving personal credit problems. Payment will not be made for a debt or modification of a debt.</w:t>
      </w:r>
    </w:p>
    <w:p w14:paraId="323ECDB6" w14:textId="067F8D68" w:rsidR="00E90D39" w:rsidRPr="003D267D" w:rsidRDefault="00E90D39">
      <w:pPr>
        <w:pStyle w:val="ListParagraph"/>
        <w:numPr>
          <w:ilvl w:val="1"/>
          <w:numId w:val="104"/>
        </w:numPr>
        <w:rPr>
          <w:rFonts w:ascii="Calibri" w:hAnsi="Calibri" w:cs="Calibri"/>
          <w:color w:val="000000" w:themeColor="text1"/>
        </w:rPr>
      </w:pPr>
      <w:r w:rsidRPr="000800C5">
        <w:rPr>
          <w:rFonts w:ascii="Calibri" w:hAnsi="Calibri" w:cs="Calibri"/>
        </w:rPr>
        <w:t>Any additional requirements regarding the type, amount, and duration of housing stabilization and/or relocation services that will be provided to a program provider’s policies and clearly communicated to program participants.</w:t>
      </w:r>
    </w:p>
    <w:p w14:paraId="70E46F96" w14:textId="77777777" w:rsidR="003D267D" w:rsidRPr="00E90D39" w:rsidRDefault="003D267D" w:rsidP="003D267D">
      <w:pPr>
        <w:pStyle w:val="ListParagraph"/>
        <w:ind w:left="3060"/>
        <w:rPr>
          <w:rFonts w:ascii="Calibri" w:hAnsi="Calibri" w:cs="Calibri"/>
          <w:color w:val="000000" w:themeColor="text1"/>
        </w:rPr>
      </w:pPr>
    </w:p>
    <w:p w14:paraId="705DF45C" w14:textId="7A6A0109" w:rsidR="00E90D39" w:rsidRPr="00E90D39" w:rsidRDefault="00E90D39">
      <w:pPr>
        <w:pStyle w:val="ListParagraph"/>
        <w:numPr>
          <w:ilvl w:val="0"/>
          <w:numId w:val="104"/>
        </w:numPr>
        <w:rPr>
          <w:rFonts w:ascii="Calibri" w:hAnsi="Calibri" w:cs="Calibri"/>
          <w:color w:val="000000" w:themeColor="text1"/>
        </w:rPr>
      </w:pPr>
      <w:r>
        <w:rPr>
          <w:rFonts w:ascii="Calibri" w:hAnsi="Calibri" w:cs="Calibri"/>
        </w:rPr>
        <w:t>Rental Assistance</w:t>
      </w:r>
    </w:p>
    <w:p w14:paraId="4FB6BA98" w14:textId="1D11187D" w:rsidR="00E90D39" w:rsidRPr="00E90D39" w:rsidRDefault="00E90D39">
      <w:pPr>
        <w:pStyle w:val="ListParagraph"/>
        <w:numPr>
          <w:ilvl w:val="1"/>
          <w:numId w:val="104"/>
        </w:numPr>
        <w:rPr>
          <w:rFonts w:ascii="Calibri" w:hAnsi="Calibri" w:cs="Calibri"/>
          <w:color w:val="000000" w:themeColor="text1"/>
        </w:rPr>
      </w:pPr>
      <w:r w:rsidRPr="000800C5">
        <w:rPr>
          <w:rFonts w:ascii="Calibri" w:hAnsi="Calibri" w:cs="Calibri"/>
        </w:rPr>
        <w:t>Payment for short-term rental assistance shall not exceed 3 months.</w:t>
      </w:r>
    </w:p>
    <w:p w14:paraId="33E52D85" w14:textId="3F241921" w:rsidR="00E90D39" w:rsidRPr="00E90D39" w:rsidRDefault="00E90D39">
      <w:pPr>
        <w:pStyle w:val="ListParagraph"/>
        <w:numPr>
          <w:ilvl w:val="1"/>
          <w:numId w:val="104"/>
        </w:numPr>
        <w:rPr>
          <w:rFonts w:ascii="Calibri" w:hAnsi="Calibri" w:cs="Calibri"/>
          <w:color w:val="000000" w:themeColor="text1"/>
        </w:rPr>
      </w:pPr>
      <w:r w:rsidRPr="000800C5">
        <w:rPr>
          <w:rFonts w:ascii="Calibri" w:hAnsi="Calibri" w:cs="Calibri"/>
        </w:rPr>
        <w:t xml:space="preserve">Payment for medium-term rental assistance shall be for more than 3 </w:t>
      </w:r>
      <w:proofErr w:type="gramStart"/>
      <w:r w:rsidRPr="000800C5">
        <w:rPr>
          <w:rFonts w:ascii="Calibri" w:hAnsi="Calibri" w:cs="Calibri"/>
        </w:rPr>
        <w:t>months, but</w:t>
      </w:r>
      <w:proofErr w:type="gramEnd"/>
      <w:r w:rsidRPr="000800C5">
        <w:rPr>
          <w:rFonts w:ascii="Calibri" w:hAnsi="Calibri" w:cs="Calibri"/>
        </w:rPr>
        <w:t xml:space="preserve"> shall not exceed 24 months.</w:t>
      </w:r>
    </w:p>
    <w:p w14:paraId="66E4E522" w14:textId="4135CA9F" w:rsidR="00E90D39" w:rsidRPr="00E90D39" w:rsidRDefault="00E90D39">
      <w:pPr>
        <w:pStyle w:val="ListParagraph"/>
        <w:numPr>
          <w:ilvl w:val="1"/>
          <w:numId w:val="104"/>
        </w:numPr>
        <w:rPr>
          <w:rFonts w:ascii="Calibri" w:hAnsi="Calibri" w:cs="Calibri"/>
          <w:color w:val="000000" w:themeColor="text1"/>
        </w:rPr>
      </w:pPr>
      <w:r w:rsidRPr="000800C5">
        <w:rPr>
          <w:rFonts w:ascii="Calibri" w:hAnsi="Calibri" w:cs="Calibri"/>
        </w:rPr>
        <w:t xml:space="preserve">Rental assistance will not exceed 24 months in any 36 month period (24 CFR 576.105(c)), except for program participants who reach their 24-month maximum during the period beginning on January 21, </w:t>
      </w:r>
      <w:proofErr w:type="gramStart"/>
      <w:r w:rsidRPr="000800C5">
        <w:rPr>
          <w:rFonts w:ascii="Calibri" w:hAnsi="Calibri" w:cs="Calibri"/>
        </w:rPr>
        <w:t>2020</w:t>
      </w:r>
      <w:proofErr w:type="gramEnd"/>
      <w:r w:rsidRPr="000800C5">
        <w:rPr>
          <w:rFonts w:ascii="Calibri" w:hAnsi="Calibri" w:cs="Calibri"/>
        </w:rPr>
        <w:t xml:space="preserve"> and ending February 28, 2021. Rental assistance shall only be extended for a maximum of an additional 6 months. (Notice: CPD-20-08)</w:t>
      </w:r>
    </w:p>
    <w:p w14:paraId="47AAFFB7" w14:textId="79F5FDB0" w:rsidR="00E90D39" w:rsidRPr="00E90D39" w:rsidRDefault="00E90D39">
      <w:pPr>
        <w:pStyle w:val="ListParagraph"/>
        <w:numPr>
          <w:ilvl w:val="1"/>
          <w:numId w:val="104"/>
        </w:numPr>
        <w:rPr>
          <w:rFonts w:ascii="Calibri" w:hAnsi="Calibri" w:cs="Calibri"/>
          <w:color w:val="000000" w:themeColor="text1"/>
        </w:rPr>
      </w:pPr>
      <w:r w:rsidRPr="000800C5">
        <w:rPr>
          <w:rFonts w:ascii="Calibri" w:hAnsi="Calibri" w:cs="Calibri"/>
        </w:rPr>
        <w:t>Payment shall comply with HUD’s standard of rent reasonableness</w:t>
      </w:r>
    </w:p>
    <w:p w14:paraId="6D12434B" w14:textId="087DCEC1" w:rsidR="00E90D39" w:rsidRPr="00E90D39" w:rsidRDefault="00E90D39">
      <w:pPr>
        <w:pStyle w:val="ListParagraph"/>
        <w:numPr>
          <w:ilvl w:val="1"/>
          <w:numId w:val="104"/>
        </w:numPr>
        <w:rPr>
          <w:rFonts w:ascii="Calibri" w:hAnsi="Calibri" w:cs="Calibri"/>
          <w:color w:val="000000" w:themeColor="text1"/>
        </w:rPr>
      </w:pPr>
      <w:r w:rsidRPr="000800C5">
        <w:rPr>
          <w:rFonts w:ascii="Calibri" w:hAnsi="Calibri" w:cs="Calibri"/>
        </w:rPr>
        <w:lastRenderedPageBreak/>
        <w:t>Calculation of the rental payment amount shall only include monthly rent for the unit, any occupancy fees under the lease (except for pet and late fees) and if the participant pays separately for utilities, the monthly utility allowance established by the Public Housing Authority</w:t>
      </w:r>
    </w:p>
    <w:p w14:paraId="5D7165A1" w14:textId="4A7C5C76" w:rsidR="00E90D39" w:rsidRPr="00E90D39" w:rsidRDefault="00E90D39">
      <w:pPr>
        <w:pStyle w:val="ListParagraph"/>
        <w:numPr>
          <w:ilvl w:val="1"/>
          <w:numId w:val="104"/>
        </w:numPr>
        <w:rPr>
          <w:rFonts w:ascii="Calibri" w:hAnsi="Calibri" w:cs="Calibri"/>
          <w:color w:val="000000" w:themeColor="text1"/>
        </w:rPr>
      </w:pPr>
      <w:r w:rsidRPr="000800C5">
        <w:rPr>
          <w:rFonts w:ascii="Calibri" w:hAnsi="Calibri" w:cs="Calibri"/>
        </w:rPr>
        <w:t>Payment shall only be made when there is a legally binding, written lease for the rental unit between the participant and the owner, except for payment of rental arrears.</w:t>
      </w:r>
    </w:p>
    <w:p w14:paraId="1FF40199" w14:textId="2797229B" w:rsidR="00E90D39" w:rsidRPr="00E90D39" w:rsidRDefault="00E90D39">
      <w:pPr>
        <w:pStyle w:val="ListParagraph"/>
        <w:numPr>
          <w:ilvl w:val="1"/>
          <w:numId w:val="104"/>
        </w:numPr>
        <w:rPr>
          <w:rFonts w:ascii="Calibri" w:hAnsi="Calibri" w:cs="Calibri"/>
          <w:color w:val="000000" w:themeColor="text1"/>
        </w:rPr>
      </w:pPr>
      <w:r w:rsidRPr="000800C5">
        <w:rPr>
          <w:rFonts w:ascii="Calibri" w:hAnsi="Calibri" w:cs="Calibri"/>
        </w:rPr>
        <w:t>Payment shall only be made for units that have been inspected for ESG Habitability Standards and re-inspected no less frequently than annually. Rental assistance shall not be paid on behalf of any unit that does not meet ESG Habitability Standards.</w:t>
      </w:r>
    </w:p>
    <w:p w14:paraId="6C17515F" w14:textId="2775363E" w:rsidR="00E90D39" w:rsidRPr="00E90D39" w:rsidRDefault="00E90D39">
      <w:pPr>
        <w:pStyle w:val="ListParagraph"/>
        <w:numPr>
          <w:ilvl w:val="1"/>
          <w:numId w:val="104"/>
        </w:numPr>
        <w:rPr>
          <w:rFonts w:ascii="Calibri" w:hAnsi="Calibri" w:cs="Calibri"/>
          <w:color w:val="000000" w:themeColor="text1"/>
        </w:rPr>
      </w:pPr>
      <w:r w:rsidRPr="00E90D39">
        <w:rPr>
          <w:rFonts w:ascii="Calibri" w:hAnsi="Calibri" w:cs="Calibri"/>
          <w:u w:val="single"/>
        </w:rPr>
        <w:t>Tenant-Based Rental Assistance</w:t>
      </w:r>
      <w:r w:rsidRPr="000800C5">
        <w:rPr>
          <w:rFonts w:ascii="Calibri" w:hAnsi="Calibri" w:cs="Calibri"/>
        </w:rPr>
        <w:t>: The rental assistance agreement with the unit owner shall be terminated without further payment if:</w:t>
      </w:r>
    </w:p>
    <w:p w14:paraId="56AEC2BC" w14:textId="41FC6DAE" w:rsidR="00E90D39" w:rsidRPr="00E90D39" w:rsidRDefault="00E90D39">
      <w:pPr>
        <w:pStyle w:val="ListParagraph"/>
        <w:numPr>
          <w:ilvl w:val="2"/>
          <w:numId w:val="108"/>
        </w:numPr>
        <w:rPr>
          <w:rFonts w:ascii="Calibri" w:hAnsi="Calibri" w:cs="Calibri"/>
          <w:color w:val="000000" w:themeColor="text1"/>
        </w:rPr>
      </w:pPr>
      <w:r w:rsidRPr="000800C5">
        <w:rPr>
          <w:rFonts w:ascii="Calibri" w:hAnsi="Calibri" w:cs="Calibri"/>
        </w:rPr>
        <w:t>The participant moves out of the unit;</w:t>
      </w:r>
    </w:p>
    <w:p w14:paraId="0C087EEF" w14:textId="4576BA1D" w:rsidR="00E90D39" w:rsidRPr="00E90D39" w:rsidRDefault="00E90D39">
      <w:pPr>
        <w:pStyle w:val="ListParagraph"/>
        <w:numPr>
          <w:ilvl w:val="2"/>
          <w:numId w:val="108"/>
        </w:numPr>
        <w:rPr>
          <w:rFonts w:ascii="Calibri" w:hAnsi="Calibri" w:cs="Calibri"/>
          <w:color w:val="000000" w:themeColor="text1"/>
        </w:rPr>
      </w:pPr>
      <w:r w:rsidRPr="000800C5">
        <w:rPr>
          <w:rFonts w:ascii="Calibri" w:hAnsi="Calibri" w:cs="Calibri"/>
        </w:rPr>
        <w:t>The lease terminates and is not renewed; or</w:t>
      </w:r>
    </w:p>
    <w:p w14:paraId="76CED0F6" w14:textId="1A1519BC" w:rsidR="00E90D39" w:rsidRPr="00E90D39" w:rsidRDefault="00E90D39">
      <w:pPr>
        <w:pStyle w:val="ListParagraph"/>
        <w:numPr>
          <w:ilvl w:val="2"/>
          <w:numId w:val="108"/>
        </w:numPr>
        <w:rPr>
          <w:rFonts w:ascii="Calibri" w:hAnsi="Calibri" w:cs="Calibri"/>
          <w:color w:val="000000" w:themeColor="text1"/>
        </w:rPr>
      </w:pPr>
      <w:r>
        <w:rPr>
          <w:rFonts w:ascii="Calibri" w:hAnsi="Calibri" w:cs="Calibri"/>
        </w:rPr>
        <w:t>T</w:t>
      </w:r>
      <w:r w:rsidRPr="000800C5">
        <w:rPr>
          <w:rFonts w:ascii="Calibri" w:hAnsi="Calibri" w:cs="Calibri"/>
        </w:rPr>
        <w:t>he participant becomes ineligible to receive ESG rental assistance.</w:t>
      </w:r>
    </w:p>
    <w:p w14:paraId="3688FD77" w14:textId="202283E7" w:rsidR="00E90D39" w:rsidRPr="00E90D39" w:rsidRDefault="00E90D39">
      <w:pPr>
        <w:pStyle w:val="ListParagraph"/>
        <w:numPr>
          <w:ilvl w:val="1"/>
          <w:numId w:val="104"/>
        </w:numPr>
        <w:rPr>
          <w:rFonts w:ascii="Calibri" w:hAnsi="Calibri" w:cs="Calibri"/>
          <w:color w:val="000000" w:themeColor="text1"/>
        </w:rPr>
      </w:pPr>
      <w:r w:rsidRPr="00E90D39">
        <w:rPr>
          <w:rFonts w:ascii="Calibri" w:hAnsi="Calibri" w:cs="Calibri"/>
          <w:u w:val="single"/>
        </w:rPr>
        <w:t>Project-Based Rental Assistance</w:t>
      </w:r>
      <w:r w:rsidRPr="000800C5">
        <w:rPr>
          <w:rFonts w:ascii="Calibri" w:hAnsi="Calibri" w:cs="Calibri"/>
        </w:rPr>
        <w:t xml:space="preserve"> Payment shall only be made under the following conditions:</w:t>
      </w:r>
    </w:p>
    <w:p w14:paraId="672B0A09" w14:textId="65195181" w:rsidR="00E90D39" w:rsidRPr="00E90D39" w:rsidRDefault="00E90D39">
      <w:pPr>
        <w:pStyle w:val="ListParagraph"/>
        <w:numPr>
          <w:ilvl w:val="2"/>
          <w:numId w:val="109"/>
        </w:numPr>
        <w:rPr>
          <w:rFonts w:ascii="Calibri" w:hAnsi="Calibri" w:cs="Calibri"/>
          <w:color w:val="000000" w:themeColor="text1"/>
        </w:rPr>
      </w:pPr>
      <w:r w:rsidRPr="000800C5">
        <w:rPr>
          <w:rFonts w:ascii="Calibri" w:hAnsi="Calibri" w:cs="Calibri"/>
        </w:rPr>
        <w:t>The lease has an initial term of 1 year;</w:t>
      </w:r>
    </w:p>
    <w:p w14:paraId="17589C88" w14:textId="1744BAE3" w:rsidR="00E90D39" w:rsidRPr="00E90D39" w:rsidRDefault="00E90D39">
      <w:pPr>
        <w:pStyle w:val="ListParagraph"/>
        <w:numPr>
          <w:ilvl w:val="2"/>
          <w:numId w:val="109"/>
        </w:numPr>
        <w:rPr>
          <w:rFonts w:ascii="Calibri" w:hAnsi="Calibri" w:cs="Calibri"/>
          <w:color w:val="000000" w:themeColor="text1"/>
        </w:rPr>
      </w:pPr>
      <w:r w:rsidRPr="000800C5">
        <w:rPr>
          <w:rFonts w:ascii="Calibri" w:hAnsi="Calibri" w:cs="Calibri"/>
        </w:rPr>
        <w:t>The rental assistance agreement covers one or more permanent housing units in the same building; an</w:t>
      </w:r>
      <w:r>
        <w:rPr>
          <w:rFonts w:ascii="Calibri" w:hAnsi="Calibri" w:cs="Calibri"/>
        </w:rPr>
        <w:t>d</w:t>
      </w:r>
    </w:p>
    <w:p w14:paraId="42C26776" w14:textId="147B96DB" w:rsidR="00E90D39" w:rsidRPr="00E90D39" w:rsidRDefault="00E90D39">
      <w:pPr>
        <w:pStyle w:val="ListParagraph"/>
        <w:numPr>
          <w:ilvl w:val="2"/>
          <w:numId w:val="109"/>
        </w:numPr>
        <w:rPr>
          <w:rFonts w:ascii="Calibri" w:hAnsi="Calibri" w:cs="Calibri"/>
          <w:color w:val="000000" w:themeColor="text1"/>
        </w:rPr>
      </w:pPr>
      <w:r w:rsidRPr="000800C5">
        <w:rPr>
          <w:rFonts w:ascii="Calibri" w:hAnsi="Calibri" w:cs="Calibri"/>
        </w:rPr>
        <w:t>Each unit covered by the agreement is only occupied by participant</w:t>
      </w:r>
      <w:r>
        <w:rPr>
          <w:rFonts w:ascii="Calibri" w:hAnsi="Calibri" w:cs="Calibri"/>
        </w:rPr>
        <w:t>s.</w:t>
      </w:r>
    </w:p>
    <w:p w14:paraId="64570056" w14:textId="7D11E0E4" w:rsidR="00E90D39" w:rsidRPr="00E90D39" w:rsidRDefault="00E90D39">
      <w:pPr>
        <w:pStyle w:val="ListParagraph"/>
        <w:numPr>
          <w:ilvl w:val="1"/>
          <w:numId w:val="104"/>
        </w:numPr>
        <w:rPr>
          <w:rFonts w:ascii="Calibri" w:hAnsi="Calibri" w:cs="Calibri"/>
          <w:color w:val="000000" w:themeColor="text1"/>
        </w:rPr>
      </w:pPr>
      <w:r w:rsidRPr="000800C5">
        <w:rPr>
          <w:rFonts w:ascii="Calibri" w:hAnsi="Calibri" w:cs="Calibri"/>
        </w:rPr>
        <w:t>Payment will only be made for up to 100% of the first month’s rent, if the participant signs a lease and moves into the unit before the end of the month.</w:t>
      </w:r>
    </w:p>
    <w:p w14:paraId="31ED7441" w14:textId="28BC8D67" w:rsidR="00E90D39" w:rsidRPr="00303879" w:rsidRDefault="00E90D39">
      <w:pPr>
        <w:pStyle w:val="ListParagraph"/>
        <w:numPr>
          <w:ilvl w:val="0"/>
          <w:numId w:val="104"/>
        </w:numPr>
        <w:rPr>
          <w:rFonts w:ascii="Calibri" w:hAnsi="Calibri" w:cs="Calibri"/>
          <w:color w:val="000000" w:themeColor="text1"/>
          <w:highlight w:val="yellow"/>
        </w:rPr>
      </w:pPr>
      <w:r w:rsidRPr="00303879">
        <w:rPr>
          <w:rFonts w:ascii="Calibri" w:hAnsi="Calibri" w:cs="Calibri"/>
          <w:highlight w:val="yellow"/>
        </w:rPr>
        <w:t xml:space="preserve">Re-evaluations: The minimum standards for completing eligibility re-evaluations requires that participants shall be re-evaluated not less than once </w:t>
      </w:r>
      <w:r w:rsidR="00303879" w:rsidRPr="00303879">
        <w:rPr>
          <w:rFonts w:ascii="Calibri" w:hAnsi="Calibri" w:cs="Calibri"/>
          <w:highlight w:val="yellow"/>
        </w:rPr>
        <w:t>every 90 days</w:t>
      </w:r>
      <w:r w:rsidRPr="00303879">
        <w:rPr>
          <w:rFonts w:ascii="Calibri" w:hAnsi="Calibri" w:cs="Calibri"/>
          <w:highlight w:val="yellow"/>
        </w:rPr>
        <w:t>.</w:t>
      </w:r>
    </w:p>
    <w:p w14:paraId="56E8F6E7" w14:textId="1919C56F" w:rsidR="00271B9B" w:rsidRDefault="00271B9B" w:rsidP="00271B9B">
      <w:pPr>
        <w:ind w:left="1080"/>
        <w:rPr>
          <w:rFonts w:ascii="Calibri" w:hAnsi="Calibri" w:cs="Calibri"/>
          <w:color w:val="000000" w:themeColor="text1"/>
        </w:rPr>
      </w:pPr>
    </w:p>
    <w:p w14:paraId="0CB7EC7F" w14:textId="13B3B504" w:rsidR="00271B9B" w:rsidRDefault="00271B9B" w:rsidP="00271B9B">
      <w:pPr>
        <w:ind w:left="1080"/>
        <w:rPr>
          <w:rFonts w:ascii="Calibri" w:hAnsi="Calibri" w:cs="Calibri"/>
          <w:color w:val="000000" w:themeColor="text1"/>
        </w:rPr>
      </w:pPr>
    </w:p>
    <w:p w14:paraId="7034271A" w14:textId="296C751F" w:rsidR="00271B9B" w:rsidRDefault="00271B9B" w:rsidP="00271B9B">
      <w:pPr>
        <w:ind w:left="1080"/>
        <w:rPr>
          <w:rFonts w:ascii="Calibri" w:hAnsi="Calibri" w:cs="Calibri"/>
          <w:color w:val="000000" w:themeColor="text1"/>
        </w:rPr>
      </w:pPr>
    </w:p>
    <w:p w14:paraId="40D5EFC4" w14:textId="48E13FE8" w:rsidR="00271B9B" w:rsidRDefault="00271B9B" w:rsidP="00271B9B">
      <w:pPr>
        <w:ind w:left="1080"/>
        <w:rPr>
          <w:rFonts w:ascii="Calibri" w:hAnsi="Calibri" w:cs="Calibri"/>
          <w:color w:val="000000" w:themeColor="text1"/>
        </w:rPr>
      </w:pPr>
    </w:p>
    <w:p w14:paraId="045D737D" w14:textId="012CF44E" w:rsidR="00271B9B" w:rsidRDefault="00271B9B" w:rsidP="00271B9B">
      <w:pPr>
        <w:ind w:left="1080"/>
        <w:rPr>
          <w:rFonts w:ascii="Calibri" w:hAnsi="Calibri" w:cs="Calibri"/>
          <w:color w:val="000000" w:themeColor="text1"/>
        </w:rPr>
      </w:pPr>
    </w:p>
    <w:p w14:paraId="34A514DA" w14:textId="3B88A221" w:rsidR="00271B9B" w:rsidRDefault="00271B9B" w:rsidP="00271B9B">
      <w:pPr>
        <w:ind w:left="1080"/>
        <w:rPr>
          <w:rFonts w:ascii="Calibri" w:hAnsi="Calibri" w:cs="Calibri"/>
          <w:color w:val="000000" w:themeColor="text1"/>
        </w:rPr>
      </w:pPr>
    </w:p>
    <w:p w14:paraId="03C0AFDF" w14:textId="422C13E9" w:rsidR="00271B9B" w:rsidRDefault="00271B9B" w:rsidP="00271B9B">
      <w:pPr>
        <w:ind w:left="1080"/>
        <w:rPr>
          <w:rFonts w:ascii="Calibri" w:hAnsi="Calibri" w:cs="Calibri"/>
          <w:color w:val="000000" w:themeColor="text1"/>
        </w:rPr>
      </w:pPr>
    </w:p>
    <w:p w14:paraId="3004B839" w14:textId="441EB77E" w:rsidR="00271B9B" w:rsidRDefault="00271B9B" w:rsidP="00271B9B">
      <w:pPr>
        <w:ind w:left="1080"/>
        <w:rPr>
          <w:rFonts w:ascii="Calibri" w:hAnsi="Calibri" w:cs="Calibri"/>
          <w:color w:val="000000" w:themeColor="text1"/>
        </w:rPr>
      </w:pPr>
    </w:p>
    <w:p w14:paraId="697237A9" w14:textId="2DA65782" w:rsidR="00271B9B" w:rsidRDefault="00271B9B" w:rsidP="00271B9B">
      <w:pPr>
        <w:ind w:left="1080"/>
        <w:rPr>
          <w:rFonts w:ascii="Calibri" w:hAnsi="Calibri" w:cs="Calibri"/>
          <w:color w:val="000000" w:themeColor="text1"/>
        </w:rPr>
      </w:pPr>
    </w:p>
    <w:p w14:paraId="6177D70A" w14:textId="4D849035" w:rsidR="00271B9B" w:rsidRDefault="00271B9B" w:rsidP="00271B9B">
      <w:pPr>
        <w:ind w:left="1080"/>
        <w:rPr>
          <w:rFonts w:ascii="Calibri" w:hAnsi="Calibri" w:cs="Calibri"/>
          <w:color w:val="000000" w:themeColor="text1"/>
        </w:rPr>
      </w:pPr>
    </w:p>
    <w:p w14:paraId="719D267B" w14:textId="3586E1A2" w:rsidR="00271B9B" w:rsidRDefault="00271B9B" w:rsidP="00271B9B">
      <w:pPr>
        <w:ind w:left="1080"/>
        <w:rPr>
          <w:rFonts w:ascii="Calibri" w:hAnsi="Calibri" w:cs="Calibri"/>
          <w:color w:val="000000" w:themeColor="text1"/>
        </w:rPr>
      </w:pPr>
    </w:p>
    <w:p w14:paraId="128AC92A" w14:textId="2D4B0093" w:rsidR="00271B9B" w:rsidRDefault="00271B9B" w:rsidP="00271B9B">
      <w:pPr>
        <w:ind w:left="1080"/>
        <w:rPr>
          <w:rFonts w:ascii="Calibri" w:hAnsi="Calibri" w:cs="Calibri"/>
          <w:color w:val="000000" w:themeColor="text1"/>
        </w:rPr>
      </w:pPr>
    </w:p>
    <w:p w14:paraId="72A8954D" w14:textId="1141479E" w:rsidR="0074753C" w:rsidRPr="0061434B" w:rsidRDefault="00B14198" w:rsidP="0074753C">
      <w:pPr>
        <w:pStyle w:val="Heading1"/>
        <w:rPr>
          <w:b/>
          <w:bCs/>
          <w:color w:val="0070C0"/>
        </w:rPr>
      </w:pPr>
      <w:bookmarkStart w:id="150" w:name="_Toc124255057"/>
      <w:r w:rsidRPr="0061434B">
        <w:rPr>
          <w:b/>
          <w:bCs/>
          <w:color w:val="0070C0"/>
        </w:rPr>
        <w:lastRenderedPageBreak/>
        <w:t xml:space="preserve">Standards for </w:t>
      </w:r>
      <w:r w:rsidR="0074753C" w:rsidRPr="0061434B">
        <w:rPr>
          <w:b/>
          <w:bCs/>
          <w:color w:val="0070C0"/>
        </w:rPr>
        <w:t>Homeless Prevention</w:t>
      </w:r>
      <w:bookmarkEnd w:id="150"/>
      <w:r w:rsidR="0074753C" w:rsidRPr="0061434B">
        <w:rPr>
          <w:b/>
          <w:bCs/>
          <w:color w:val="0070C0"/>
        </w:rPr>
        <w:t xml:space="preserve"> </w:t>
      </w:r>
    </w:p>
    <w:p w14:paraId="35C738A4" w14:textId="77777777" w:rsidR="00E16BCE" w:rsidRPr="0061434B" w:rsidRDefault="00E16BCE">
      <w:pPr>
        <w:pStyle w:val="Heading2"/>
        <w:numPr>
          <w:ilvl w:val="0"/>
          <w:numId w:val="61"/>
        </w:numPr>
        <w:spacing w:before="0" w:line="240" w:lineRule="auto"/>
        <w:contextualSpacing/>
        <w:rPr>
          <w:color w:val="0070C0"/>
        </w:rPr>
      </w:pPr>
      <w:bookmarkStart w:id="151" w:name="_Toc124255058"/>
      <w:r w:rsidRPr="0061434B">
        <w:rPr>
          <w:color w:val="0070C0"/>
        </w:rPr>
        <w:t>Introduction</w:t>
      </w:r>
      <w:bookmarkEnd w:id="151"/>
      <w:r w:rsidRPr="0061434B">
        <w:rPr>
          <w:color w:val="0070C0"/>
        </w:rPr>
        <w:t xml:space="preserve"> </w:t>
      </w:r>
    </w:p>
    <w:p w14:paraId="09A2294F" w14:textId="77777777" w:rsidR="00E16BCE" w:rsidRPr="00BF1A00" w:rsidRDefault="00E16BCE">
      <w:pPr>
        <w:pStyle w:val="ListParagraph"/>
        <w:numPr>
          <w:ilvl w:val="0"/>
          <w:numId w:val="62"/>
        </w:numPr>
        <w:rPr>
          <w:rFonts w:ascii="Calibri" w:hAnsi="Calibri"/>
          <w:color w:val="000000" w:themeColor="text1"/>
        </w:rPr>
      </w:pPr>
      <w:r w:rsidRPr="00BF1A00">
        <w:rPr>
          <w:rFonts w:ascii="Calibri" w:hAnsi="Calibri" w:cs="Calibri"/>
          <w:color w:val="000000" w:themeColor="text1"/>
          <w:u w:val="single"/>
        </w:rPr>
        <w:t>Homelessness prevention</w:t>
      </w:r>
      <w:r w:rsidRPr="00BF1A00">
        <w:rPr>
          <w:rFonts w:ascii="Calibri" w:hAnsi="Calibri" w:cs="Calibri"/>
          <w:color w:val="000000" w:themeColor="text1"/>
        </w:rPr>
        <w:t xml:space="preserve"> funding is used to provide short- and medium-term rental assistance and other housing services in order to prevent a household from becoming literally homeless. Homeless prevention funds help households regain stability in their current permanent housing or move into other permanent housing and achieve stability in that housing without a period of literal homelessness. </w:t>
      </w:r>
    </w:p>
    <w:p w14:paraId="36D4B1B6" w14:textId="6AE7E22B" w:rsidR="00E16BCE" w:rsidRPr="00BF1A00" w:rsidRDefault="00E16BCE">
      <w:pPr>
        <w:pStyle w:val="ListParagraph"/>
        <w:numPr>
          <w:ilvl w:val="2"/>
          <w:numId w:val="62"/>
        </w:numPr>
        <w:rPr>
          <w:rFonts w:ascii="Calibri" w:hAnsi="Calibri"/>
          <w:color w:val="000000" w:themeColor="text1"/>
        </w:rPr>
      </w:pPr>
      <w:r w:rsidRPr="00BF1A00">
        <w:rPr>
          <w:rFonts w:ascii="Calibri" w:hAnsi="Calibri" w:cs="Calibri"/>
          <w:color w:val="000000" w:themeColor="text1"/>
        </w:rPr>
        <w:t>Homeless prevention is funded by ESG.</w:t>
      </w:r>
    </w:p>
    <w:p w14:paraId="5CDC8707" w14:textId="77777777" w:rsidR="00E16BCE" w:rsidRPr="00E16BCE" w:rsidRDefault="00E16BCE" w:rsidP="00E16BCE">
      <w:pPr>
        <w:rPr>
          <w:rFonts w:ascii="Calibri" w:hAnsi="Calibri"/>
          <w:color w:val="000000" w:themeColor="text1"/>
        </w:rPr>
      </w:pPr>
    </w:p>
    <w:p w14:paraId="4E8ACD5B" w14:textId="77777777" w:rsidR="00E16BCE" w:rsidRPr="0061434B" w:rsidRDefault="00E16BCE">
      <w:pPr>
        <w:pStyle w:val="Heading2"/>
        <w:numPr>
          <w:ilvl w:val="0"/>
          <w:numId w:val="63"/>
        </w:numPr>
        <w:spacing w:before="0" w:line="240" w:lineRule="auto"/>
        <w:ind w:left="720"/>
        <w:contextualSpacing/>
        <w:rPr>
          <w:color w:val="0070C0"/>
        </w:rPr>
      </w:pPr>
      <w:bookmarkStart w:id="152" w:name="_Toc124255059"/>
      <w:r w:rsidRPr="0061434B">
        <w:rPr>
          <w:color w:val="0070C0"/>
        </w:rPr>
        <w:t>Eligibility</w:t>
      </w:r>
      <w:bookmarkEnd w:id="152"/>
    </w:p>
    <w:p w14:paraId="3DF4ED0E" w14:textId="41184F60" w:rsidR="00E16BCE" w:rsidRPr="00E16BCE" w:rsidRDefault="00E16BCE">
      <w:pPr>
        <w:pStyle w:val="ListParagraph"/>
        <w:numPr>
          <w:ilvl w:val="0"/>
          <w:numId w:val="64"/>
        </w:numPr>
        <w:rPr>
          <w:rFonts w:ascii="Calibri" w:hAnsi="Calibri"/>
          <w:color w:val="000000" w:themeColor="text1"/>
        </w:rPr>
      </w:pPr>
      <w:r w:rsidRPr="00E16BCE">
        <w:rPr>
          <w:rFonts w:ascii="Calibri" w:hAnsi="Calibri" w:cs="Calibri"/>
          <w:color w:val="000000" w:themeColor="text1"/>
        </w:rPr>
        <w:t>Eligibility lays out the m</w:t>
      </w:r>
      <w:r w:rsidRPr="00E16BCE">
        <w:rPr>
          <w:rFonts w:ascii="Calibri" w:hAnsi="Calibri" w:cs="Calibri"/>
          <w:color w:val="000000" w:themeColor="text1"/>
          <w:u w:val="single"/>
        </w:rPr>
        <w:t>inimum</w:t>
      </w:r>
      <w:r w:rsidRPr="00E16BCE">
        <w:rPr>
          <w:rFonts w:ascii="Calibri" w:hAnsi="Calibri" w:cs="Calibri"/>
          <w:color w:val="000000" w:themeColor="text1"/>
        </w:rPr>
        <w:t xml:space="preserve"> local and federal standards required for a household to qualify for each type of assistance at different point in the process. </w:t>
      </w:r>
    </w:p>
    <w:p w14:paraId="5CA9EA2B" w14:textId="2857DA69" w:rsidR="00E16BCE" w:rsidRPr="00E16BCE" w:rsidRDefault="00E16BCE">
      <w:pPr>
        <w:pStyle w:val="ListParagraph"/>
        <w:numPr>
          <w:ilvl w:val="0"/>
          <w:numId w:val="64"/>
        </w:numPr>
        <w:rPr>
          <w:rFonts w:ascii="Calibri" w:hAnsi="Calibri"/>
          <w:color w:val="000000" w:themeColor="text1"/>
        </w:rPr>
      </w:pPr>
      <w:r w:rsidRPr="00E16BCE">
        <w:rPr>
          <w:rFonts w:ascii="Calibri" w:hAnsi="Calibri" w:cs="Calibri"/>
          <w:color w:val="000000" w:themeColor="text1"/>
        </w:rPr>
        <w:t>Eligible households are provided access to re-housing assistance without preconditions, such as sobriety or a minimum income level.</w:t>
      </w:r>
    </w:p>
    <w:p w14:paraId="4D62A657" w14:textId="6B6726D4" w:rsidR="00E16BCE" w:rsidRPr="00E16BCE" w:rsidRDefault="00E16BCE">
      <w:pPr>
        <w:pStyle w:val="ListParagraph"/>
        <w:numPr>
          <w:ilvl w:val="0"/>
          <w:numId w:val="64"/>
        </w:numPr>
        <w:rPr>
          <w:rFonts w:ascii="Calibri" w:hAnsi="Calibri"/>
          <w:color w:val="000000" w:themeColor="text1"/>
        </w:rPr>
      </w:pPr>
      <w:r w:rsidRPr="00E16BCE">
        <w:rPr>
          <w:rFonts w:ascii="Calibri" w:hAnsi="Calibri" w:cs="Calibri"/>
          <w:color w:val="000000" w:themeColor="text1"/>
        </w:rPr>
        <w:t>Intake</w:t>
      </w:r>
    </w:p>
    <w:p w14:paraId="6F4975C5" w14:textId="3662137E" w:rsidR="00E16BCE" w:rsidRPr="00E16BCE" w:rsidRDefault="00E16BCE">
      <w:pPr>
        <w:pStyle w:val="ListParagraph"/>
        <w:numPr>
          <w:ilvl w:val="2"/>
          <w:numId w:val="64"/>
        </w:numPr>
        <w:rPr>
          <w:rFonts w:ascii="Calibri" w:hAnsi="Calibri"/>
          <w:color w:val="000000" w:themeColor="text1"/>
        </w:rPr>
      </w:pPr>
      <w:r w:rsidRPr="00E16BCE">
        <w:rPr>
          <w:rFonts w:ascii="Calibri" w:hAnsi="Calibri" w:cs="Calibri"/>
          <w:color w:val="000000" w:themeColor="text1"/>
        </w:rPr>
        <w:t>To qualify for homeless prevention (ESG-HP) assistance, clients must be literally homeless, at imminent risk of homelessness, homeless under other federal statues, or fleeing/attempting to flee domestic violence.</w:t>
      </w:r>
    </w:p>
    <w:p w14:paraId="6B92A6CE" w14:textId="32DDFF23" w:rsidR="00E16BCE" w:rsidRPr="00E16BCE" w:rsidRDefault="00E16BCE">
      <w:pPr>
        <w:pStyle w:val="ListParagraph"/>
        <w:numPr>
          <w:ilvl w:val="3"/>
          <w:numId w:val="64"/>
        </w:numPr>
        <w:rPr>
          <w:rFonts w:ascii="Calibri" w:hAnsi="Calibri"/>
          <w:color w:val="000000" w:themeColor="text1"/>
        </w:rPr>
      </w:pPr>
      <w:r w:rsidRPr="00E16BCE">
        <w:rPr>
          <w:rFonts w:ascii="Calibri" w:hAnsi="Calibri" w:cs="Calibri"/>
          <w:color w:val="000000" w:themeColor="text1"/>
        </w:rPr>
        <w:t>The household also must have an income below 30% AMI at intake, as documented by the service provider.</w:t>
      </w:r>
    </w:p>
    <w:p w14:paraId="0991BD35" w14:textId="7053390B" w:rsidR="00E16BCE" w:rsidRPr="00E16BCE" w:rsidRDefault="00E16BCE">
      <w:pPr>
        <w:pStyle w:val="ListParagraph"/>
        <w:numPr>
          <w:ilvl w:val="0"/>
          <w:numId w:val="64"/>
        </w:numPr>
        <w:rPr>
          <w:rFonts w:ascii="Calibri" w:hAnsi="Calibri"/>
          <w:color w:val="000000" w:themeColor="text1"/>
        </w:rPr>
      </w:pPr>
      <w:r w:rsidRPr="00E16BCE">
        <w:rPr>
          <w:rFonts w:ascii="Calibri" w:hAnsi="Calibri" w:cs="Calibri"/>
          <w:color w:val="000000" w:themeColor="text1"/>
        </w:rPr>
        <w:t>Re-Evaluation</w:t>
      </w:r>
    </w:p>
    <w:p w14:paraId="43C0617E" w14:textId="24A5BD10" w:rsidR="00E16BCE" w:rsidRPr="00E16BCE" w:rsidRDefault="00E16BCE">
      <w:pPr>
        <w:pStyle w:val="ListParagraph"/>
        <w:numPr>
          <w:ilvl w:val="2"/>
          <w:numId w:val="64"/>
        </w:numPr>
        <w:rPr>
          <w:rFonts w:ascii="Calibri" w:hAnsi="Calibri"/>
          <w:color w:val="000000" w:themeColor="text1"/>
        </w:rPr>
      </w:pPr>
      <w:r w:rsidRPr="00E16BCE">
        <w:rPr>
          <w:rFonts w:ascii="Calibri" w:hAnsi="Calibri" w:cs="Calibri"/>
          <w:color w:val="000000" w:themeColor="text1"/>
        </w:rPr>
        <w:t>To receive ESG-HP assistance, a household must have an income below 30% of AMI at the time of re-evaluation.</w:t>
      </w:r>
    </w:p>
    <w:p w14:paraId="0552D76C" w14:textId="0B47577F" w:rsidR="00E16BCE" w:rsidRPr="00E16BCE" w:rsidRDefault="00E16BCE">
      <w:pPr>
        <w:pStyle w:val="ListParagraph"/>
        <w:numPr>
          <w:ilvl w:val="3"/>
          <w:numId w:val="64"/>
        </w:numPr>
        <w:rPr>
          <w:rFonts w:ascii="Calibri" w:hAnsi="Calibri"/>
          <w:color w:val="000000" w:themeColor="text1"/>
        </w:rPr>
      </w:pPr>
      <w:r w:rsidRPr="00E16BCE">
        <w:rPr>
          <w:rFonts w:ascii="Calibri" w:hAnsi="Calibri" w:cs="Calibri"/>
          <w:color w:val="000000" w:themeColor="text1"/>
        </w:rPr>
        <w:t xml:space="preserve">Re-evaluation must take place no less than once every </w:t>
      </w:r>
      <w:r w:rsidR="00303879">
        <w:rPr>
          <w:rFonts w:ascii="Calibri" w:hAnsi="Calibri" w:cs="Calibri"/>
          <w:color w:val="000000" w:themeColor="text1"/>
        </w:rPr>
        <w:t>90 days</w:t>
      </w:r>
      <w:r w:rsidRPr="00E16BCE">
        <w:rPr>
          <w:rFonts w:ascii="Calibri" w:hAnsi="Calibri" w:cs="Calibri"/>
          <w:color w:val="000000" w:themeColor="text1"/>
        </w:rPr>
        <w:t>.</w:t>
      </w:r>
    </w:p>
    <w:p w14:paraId="1FBF24FB" w14:textId="3BBFA06F" w:rsidR="00E16BCE" w:rsidRPr="00E16BCE" w:rsidRDefault="00E16BCE">
      <w:pPr>
        <w:pStyle w:val="ListParagraph"/>
        <w:numPr>
          <w:ilvl w:val="0"/>
          <w:numId w:val="64"/>
        </w:numPr>
        <w:rPr>
          <w:rFonts w:ascii="Calibri" w:hAnsi="Calibri"/>
          <w:color w:val="000000" w:themeColor="text1"/>
        </w:rPr>
      </w:pPr>
      <w:r w:rsidRPr="00E16BCE">
        <w:rPr>
          <w:rFonts w:ascii="Calibri" w:hAnsi="Calibri" w:cs="Calibri"/>
          <w:color w:val="000000" w:themeColor="text1"/>
        </w:rPr>
        <w:t>See Appendix E: HUD Definitions of Homelessness (pg. 46) for more information about homelessness definitions.</w:t>
      </w:r>
    </w:p>
    <w:p w14:paraId="69F4304C" w14:textId="72E07ABC" w:rsidR="00E16BCE" w:rsidRPr="00E16BCE" w:rsidRDefault="00E16BCE">
      <w:pPr>
        <w:pStyle w:val="ListParagraph"/>
        <w:numPr>
          <w:ilvl w:val="0"/>
          <w:numId w:val="64"/>
        </w:numPr>
        <w:rPr>
          <w:rFonts w:ascii="Calibri" w:hAnsi="Calibri"/>
          <w:color w:val="000000" w:themeColor="text1"/>
        </w:rPr>
      </w:pPr>
      <w:r w:rsidRPr="00E16BCE">
        <w:rPr>
          <w:rFonts w:ascii="Calibri" w:hAnsi="Calibri" w:cs="Calibri"/>
          <w:color w:val="000000" w:themeColor="text1"/>
        </w:rPr>
        <w:t>Please see Appendix F: HUD Record Keeping Requirement (pg. 47) for more information on how to properly document eligibility for rapid re-housing and homelessness prevention assistance.</w:t>
      </w:r>
    </w:p>
    <w:p w14:paraId="1A25C36F" w14:textId="77777777" w:rsidR="00E16BCE" w:rsidRPr="00E16BCE" w:rsidRDefault="00E16BCE" w:rsidP="00E16BCE">
      <w:pPr>
        <w:pStyle w:val="Heading2"/>
        <w:spacing w:before="0" w:line="240" w:lineRule="auto"/>
        <w:contextualSpacing/>
        <w:rPr>
          <w:rFonts w:ascii="Calibri" w:hAnsi="Calibri" w:cs="Calibri"/>
          <w:smallCaps w:val="0"/>
          <w:color w:val="000000" w:themeColor="text1"/>
          <w:sz w:val="24"/>
          <w:szCs w:val="24"/>
        </w:rPr>
      </w:pPr>
    </w:p>
    <w:p w14:paraId="2F69EB7E" w14:textId="77777777" w:rsidR="00E16BCE" w:rsidRPr="0061434B" w:rsidRDefault="00E16BCE">
      <w:pPr>
        <w:pStyle w:val="Heading2"/>
        <w:numPr>
          <w:ilvl w:val="0"/>
          <w:numId w:val="65"/>
        </w:numPr>
        <w:tabs>
          <w:tab w:val="left" w:pos="360"/>
          <w:tab w:val="left" w:pos="1440"/>
        </w:tabs>
        <w:spacing w:before="0" w:line="240" w:lineRule="auto"/>
        <w:ind w:left="3240" w:hanging="3240"/>
        <w:contextualSpacing/>
        <w:rPr>
          <w:color w:val="0070C0"/>
        </w:rPr>
      </w:pPr>
      <w:bookmarkStart w:id="153" w:name="_Toc124255060"/>
      <w:r w:rsidRPr="0061434B">
        <w:rPr>
          <w:color w:val="0070C0"/>
        </w:rPr>
        <w:t>Prioritization</w:t>
      </w:r>
      <w:bookmarkEnd w:id="153"/>
    </w:p>
    <w:p w14:paraId="0D7C0749" w14:textId="0AFA42E5" w:rsidR="00E16BCE" w:rsidRDefault="00E16BCE">
      <w:pPr>
        <w:pStyle w:val="ListParagraph"/>
        <w:numPr>
          <w:ilvl w:val="0"/>
          <w:numId w:val="66"/>
        </w:numPr>
        <w:rPr>
          <w:rFonts w:ascii="Calibri" w:hAnsi="Calibri" w:cs="Calibri"/>
          <w:color w:val="000000" w:themeColor="text1"/>
        </w:rPr>
      </w:pPr>
      <w:r w:rsidRPr="00A81B74">
        <w:rPr>
          <w:rFonts w:ascii="Calibri" w:hAnsi="Calibri" w:cs="Calibri"/>
          <w:color w:val="000000" w:themeColor="text1"/>
        </w:rPr>
        <w:t xml:space="preserve">All service providers will use the coordinated entry process to prioritize homeless households within the CSCoC geographic service area for access to homeless prevention and rapid re-housing assistance. </w:t>
      </w:r>
    </w:p>
    <w:p w14:paraId="3DE4F0CE" w14:textId="0A14BFBA" w:rsidR="00E16BCE" w:rsidRDefault="00E16BCE">
      <w:pPr>
        <w:pStyle w:val="ListParagraph"/>
        <w:numPr>
          <w:ilvl w:val="0"/>
          <w:numId w:val="66"/>
        </w:numPr>
        <w:rPr>
          <w:rFonts w:ascii="Calibri" w:hAnsi="Calibri" w:cs="Calibri"/>
          <w:color w:val="000000" w:themeColor="text1"/>
        </w:rPr>
      </w:pPr>
      <w:r w:rsidRPr="00A81B74">
        <w:rPr>
          <w:rFonts w:ascii="Calibri" w:hAnsi="Calibri" w:cs="Calibri"/>
          <w:color w:val="000000" w:themeColor="text1"/>
        </w:rPr>
        <w:t>In addition to the vulnerability scores determined through the modified VI-SPDAT, additional priority will be awarded using the following elements:</w:t>
      </w:r>
    </w:p>
    <w:p w14:paraId="590BEEC7" w14:textId="301BE8EE" w:rsidR="00E16BCE" w:rsidRDefault="00E16BCE">
      <w:pPr>
        <w:pStyle w:val="ListParagraph"/>
        <w:numPr>
          <w:ilvl w:val="2"/>
          <w:numId w:val="66"/>
        </w:numPr>
        <w:rPr>
          <w:rFonts w:ascii="Calibri" w:hAnsi="Calibri" w:cs="Calibri"/>
          <w:color w:val="000000" w:themeColor="text1"/>
        </w:rPr>
      </w:pPr>
      <w:r w:rsidRPr="00A81B74">
        <w:rPr>
          <w:rFonts w:ascii="Calibri" w:hAnsi="Calibri" w:cs="Calibri"/>
          <w:color w:val="000000" w:themeColor="text1"/>
        </w:rPr>
        <w:lastRenderedPageBreak/>
        <w:t>Scoring in Coordinated Entry prioritizes housings with a 3-5 Days’ Notice to Pay or Quit for ESG-HP assistance.</w:t>
      </w:r>
    </w:p>
    <w:p w14:paraId="39C3C3E9" w14:textId="77777777" w:rsidR="00E16BCE" w:rsidRPr="00DF0C3C" w:rsidRDefault="00E16BCE" w:rsidP="00E16BCE">
      <w:pPr>
        <w:pStyle w:val="ListParagraph"/>
        <w:ind w:left="2880"/>
        <w:rPr>
          <w:rFonts w:ascii="Calibri" w:hAnsi="Calibri" w:cs="Calibri"/>
          <w:color w:val="000000" w:themeColor="text1"/>
        </w:rPr>
      </w:pPr>
    </w:p>
    <w:tbl>
      <w:tblPr>
        <w:tblStyle w:val="GridTable4-Accent1"/>
        <w:tblpPr w:leftFromText="180" w:rightFromText="180" w:vertAnchor="text" w:horzAnchor="page" w:tblpX="706" w:tblpY="306"/>
        <w:tblW w:w="13945" w:type="dxa"/>
        <w:tblLook w:val="04A0" w:firstRow="1" w:lastRow="0" w:firstColumn="1" w:lastColumn="0" w:noHBand="0" w:noVBand="1"/>
      </w:tblPr>
      <w:tblGrid>
        <w:gridCol w:w="5845"/>
        <w:gridCol w:w="4140"/>
        <w:gridCol w:w="3960"/>
      </w:tblGrid>
      <w:tr w:rsidR="00442BDB" w:rsidRPr="000604EE" w14:paraId="0701284B" w14:textId="77777777" w:rsidTr="00271B9B">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3945" w:type="dxa"/>
            <w:gridSpan w:val="3"/>
          </w:tcPr>
          <w:p w14:paraId="3821E2A8" w14:textId="0EA3954E" w:rsidR="00BC6C26" w:rsidRPr="00A76818" w:rsidRDefault="00BC6C26" w:rsidP="00CC61AB">
            <w:pPr>
              <w:contextualSpacing/>
              <w:rPr>
                <w:rFonts w:ascii="Calibri" w:hAnsi="Calibri" w:cs="Calibri"/>
                <w:b w:val="0"/>
                <w:bCs w:val="0"/>
                <w:color w:val="000000" w:themeColor="text1"/>
              </w:rPr>
            </w:pPr>
            <w:r w:rsidRPr="00A76818">
              <w:rPr>
                <w:rFonts w:ascii="Calibri" w:hAnsi="Calibri" w:cs="Calibri"/>
                <w:b w:val="0"/>
                <w:bCs w:val="0"/>
                <w:color w:val="000000" w:themeColor="text1"/>
              </w:rPr>
              <w:t>Summary of Eligibility Criterion for Homeless Prevention (CoC and ESG)</w:t>
            </w:r>
          </w:p>
        </w:tc>
      </w:tr>
      <w:tr w:rsidR="00BC6C26" w:rsidRPr="000604EE" w14:paraId="500D2749" w14:textId="77777777" w:rsidTr="00271B9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845" w:type="dxa"/>
            <w:vMerge w:val="restart"/>
          </w:tcPr>
          <w:p w14:paraId="52736FE1" w14:textId="77777777" w:rsidR="00BC6C26" w:rsidRPr="00A76818" w:rsidRDefault="00BC6C26" w:rsidP="000604EE">
            <w:pPr>
              <w:contextualSpacing/>
              <w:rPr>
                <w:rFonts w:ascii="Calibri" w:hAnsi="Calibri" w:cs="Calibri"/>
                <w:b w:val="0"/>
                <w:bCs w:val="0"/>
                <w:color w:val="000000" w:themeColor="text1"/>
              </w:rPr>
            </w:pPr>
            <w:r w:rsidRPr="00A76818">
              <w:rPr>
                <w:rFonts w:ascii="Calibri" w:hAnsi="Calibri" w:cs="Calibri"/>
                <w:b w:val="0"/>
                <w:bCs w:val="0"/>
                <w:color w:val="000000" w:themeColor="text1"/>
              </w:rPr>
              <w:t>Criterion</w:t>
            </w:r>
          </w:p>
        </w:tc>
        <w:tc>
          <w:tcPr>
            <w:tcW w:w="4140" w:type="dxa"/>
          </w:tcPr>
          <w:p w14:paraId="3197F224" w14:textId="77777777" w:rsidR="00BC6C26" w:rsidRPr="00A76818" w:rsidRDefault="00BC6C2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Initial Evaluation</w:t>
            </w:r>
          </w:p>
        </w:tc>
        <w:tc>
          <w:tcPr>
            <w:tcW w:w="3960" w:type="dxa"/>
          </w:tcPr>
          <w:p w14:paraId="2D311C08" w14:textId="77777777" w:rsidR="00BC6C26" w:rsidRPr="00A76818" w:rsidRDefault="00BC6C2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Re-Evaluation</w:t>
            </w:r>
          </w:p>
        </w:tc>
      </w:tr>
      <w:tr w:rsidR="00B14BD4" w:rsidRPr="000604EE" w14:paraId="23AF160F" w14:textId="77777777" w:rsidTr="00271B9B">
        <w:trPr>
          <w:trHeight w:val="275"/>
        </w:trPr>
        <w:tc>
          <w:tcPr>
            <w:cnfStyle w:val="001000000000" w:firstRow="0" w:lastRow="0" w:firstColumn="1" w:lastColumn="0" w:oddVBand="0" w:evenVBand="0" w:oddHBand="0" w:evenHBand="0" w:firstRowFirstColumn="0" w:firstRowLastColumn="0" w:lastRowFirstColumn="0" w:lastRowLastColumn="0"/>
            <w:tcW w:w="5845" w:type="dxa"/>
            <w:vMerge/>
          </w:tcPr>
          <w:p w14:paraId="23A90732" w14:textId="77777777" w:rsidR="00B14BD4" w:rsidRPr="000604EE" w:rsidRDefault="00B14BD4" w:rsidP="000604EE">
            <w:pPr>
              <w:contextualSpacing/>
              <w:rPr>
                <w:rFonts w:ascii="Calibri" w:hAnsi="Calibri"/>
                <w:b w:val="0"/>
                <w:bCs w:val="0"/>
                <w:color w:val="000000" w:themeColor="text1"/>
                <w:sz w:val="20"/>
                <w:szCs w:val="21"/>
              </w:rPr>
            </w:pPr>
          </w:p>
        </w:tc>
        <w:tc>
          <w:tcPr>
            <w:tcW w:w="4140" w:type="dxa"/>
          </w:tcPr>
          <w:p w14:paraId="23F076A8" w14:textId="77777777" w:rsidR="00B14BD4" w:rsidRPr="00A76818" w:rsidRDefault="00B14BD4"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ESG-HP</w:t>
            </w:r>
          </w:p>
        </w:tc>
        <w:tc>
          <w:tcPr>
            <w:tcW w:w="3960" w:type="dxa"/>
          </w:tcPr>
          <w:p w14:paraId="015136C7" w14:textId="77777777" w:rsidR="00B14BD4" w:rsidRPr="00A76818" w:rsidRDefault="00B14BD4"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ESG-HP</w:t>
            </w:r>
          </w:p>
        </w:tc>
      </w:tr>
      <w:tr w:rsidR="00B14BD4" w:rsidRPr="000604EE" w14:paraId="513B6E84" w14:textId="77777777" w:rsidTr="00271B9B">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845" w:type="dxa"/>
          </w:tcPr>
          <w:p w14:paraId="195D3A39" w14:textId="77777777" w:rsidR="00B14BD4" w:rsidRPr="00A76818" w:rsidRDefault="00B14BD4" w:rsidP="000604EE">
            <w:pPr>
              <w:contextualSpacing/>
              <w:rPr>
                <w:rFonts w:ascii="Calibri" w:hAnsi="Calibri" w:cs="Calibri"/>
                <w:b w:val="0"/>
                <w:bCs w:val="0"/>
                <w:color w:val="000000" w:themeColor="text1"/>
              </w:rPr>
            </w:pPr>
            <w:r w:rsidRPr="00A76818">
              <w:rPr>
                <w:rFonts w:ascii="Calibri" w:hAnsi="Calibri" w:cs="Calibri"/>
                <w:b w:val="0"/>
                <w:bCs w:val="0"/>
                <w:color w:val="000000" w:themeColor="text1"/>
              </w:rPr>
              <w:t>Literally Homeless</w:t>
            </w:r>
          </w:p>
        </w:tc>
        <w:tc>
          <w:tcPr>
            <w:tcW w:w="4140" w:type="dxa"/>
          </w:tcPr>
          <w:p w14:paraId="7F5F6EEF" w14:textId="77777777" w:rsidR="00B14BD4" w:rsidRPr="00A76818" w:rsidRDefault="00B14BD4"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c>
          <w:tcPr>
            <w:tcW w:w="3960" w:type="dxa"/>
          </w:tcPr>
          <w:p w14:paraId="0BD6F9D7" w14:textId="77777777" w:rsidR="00B14BD4" w:rsidRPr="000604EE" w:rsidRDefault="00B14BD4"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0"/>
                <w:szCs w:val="21"/>
              </w:rPr>
            </w:pPr>
          </w:p>
        </w:tc>
      </w:tr>
      <w:tr w:rsidR="00B14BD4" w:rsidRPr="000604EE" w14:paraId="26D8DD54" w14:textId="77777777" w:rsidTr="00271B9B">
        <w:trPr>
          <w:trHeight w:val="413"/>
        </w:trPr>
        <w:tc>
          <w:tcPr>
            <w:cnfStyle w:val="001000000000" w:firstRow="0" w:lastRow="0" w:firstColumn="1" w:lastColumn="0" w:oddVBand="0" w:evenVBand="0" w:oddHBand="0" w:evenHBand="0" w:firstRowFirstColumn="0" w:firstRowLastColumn="0" w:lastRowFirstColumn="0" w:lastRowLastColumn="0"/>
            <w:tcW w:w="5845" w:type="dxa"/>
          </w:tcPr>
          <w:p w14:paraId="700BADBE" w14:textId="5865710C" w:rsidR="00B14BD4" w:rsidRPr="00A76818" w:rsidRDefault="00B14BD4" w:rsidP="000604EE">
            <w:pPr>
              <w:contextualSpacing/>
              <w:rPr>
                <w:rFonts w:ascii="Calibri" w:hAnsi="Calibri" w:cs="Calibri"/>
                <w:b w:val="0"/>
                <w:bCs w:val="0"/>
                <w:color w:val="000000" w:themeColor="text1"/>
              </w:rPr>
            </w:pPr>
            <w:r w:rsidRPr="00A76818">
              <w:rPr>
                <w:rFonts w:ascii="Calibri" w:hAnsi="Calibri" w:cs="Calibri"/>
                <w:b w:val="0"/>
                <w:bCs w:val="0"/>
                <w:color w:val="000000" w:themeColor="text1"/>
              </w:rPr>
              <w:t>Imminent Risk of Homelessness</w:t>
            </w:r>
          </w:p>
        </w:tc>
        <w:tc>
          <w:tcPr>
            <w:tcW w:w="4140" w:type="dxa"/>
          </w:tcPr>
          <w:p w14:paraId="7BA975D8" w14:textId="77777777" w:rsidR="00B14BD4" w:rsidRPr="00A76818" w:rsidRDefault="00B14BD4"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c>
          <w:tcPr>
            <w:tcW w:w="3960" w:type="dxa"/>
          </w:tcPr>
          <w:p w14:paraId="0E246F92" w14:textId="77777777" w:rsidR="00B14BD4" w:rsidRPr="000604EE" w:rsidRDefault="00B14BD4"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0"/>
                <w:szCs w:val="21"/>
              </w:rPr>
            </w:pPr>
          </w:p>
        </w:tc>
      </w:tr>
      <w:tr w:rsidR="00B14BD4" w:rsidRPr="000604EE" w14:paraId="6755A9EF" w14:textId="77777777" w:rsidTr="00271B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845" w:type="dxa"/>
          </w:tcPr>
          <w:p w14:paraId="68AF9636" w14:textId="77777777" w:rsidR="00B14BD4" w:rsidRPr="00A76818" w:rsidRDefault="00B14BD4" w:rsidP="000604EE">
            <w:pPr>
              <w:contextualSpacing/>
              <w:rPr>
                <w:rFonts w:ascii="Calibri" w:hAnsi="Calibri" w:cs="Calibri"/>
                <w:b w:val="0"/>
                <w:bCs w:val="0"/>
                <w:color w:val="000000" w:themeColor="text1"/>
              </w:rPr>
            </w:pPr>
            <w:r w:rsidRPr="00A76818">
              <w:rPr>
                <w:rFonts w:ascii="Calibri" w:hAnsi="Calibri" w:cs="Calibri"/>
                <w:b w:val="0"/>
                <w:bCs w:val="0"/>
                <w:color w:val="000000" w:themeColor="text1"/>
              </w:rPr>
              <w:t>Homelessness under other Federal statutes</w:t>
            </w:r>
          </w:p>
        </w:tc>
        <w:tc>
          <w:tcPr>
            <w:tcW w:w="4140" w:type="dxa"/>
          </w:tcPr>
          <w:p w14:paraId="299D0348" w14:textId="77777777" w:rsidR="00B14BD4" w:rsidRPr="00A76818" w:rsidRDefault="00B14BD4"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c>
          <w:tcPr>
            <w:tcW w:w="3960" w:type="dxa"/>
          </w:tcPr>
          <w:p w14:paraId="7ED909B0" w14:textId="77777777" w:rsidR="00B14BD4" w:rsidRPr="000604EE" w:rsidRDefault="00B14BD4"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0"/>
                <w:szCs w:val="21"/>
              </w:rPr>
            </w:pPr>
          </w:p>
        </w:tc>
      </w:tr>
      <w:tr w:rsidR="00B14BD4" w:rsidRPr="000604EE" w14:paraId="5610DFCA" w14:textId="77777777" w:rsidTr="00271B9B">
        <w:trPr>
          <w:trHeight w:val="413"/>
        </w:trPr>
        <w:tc>
          <w:tcPr>
            <w:cnfStyle w:val="001000000000" w:firstRow="0" w:lastRow="0" w:firstColumn="1" w:lastColumn="0" w:oddVBand="0" w:evenVBand="0" w:oddHBand="0" w:evenHBand="0" w:firstRowFirstColumn="0" w:firstRowLastColumn="0" w:lastRowFirstColumn="0" w:lastRowLastColumn="0"/>
            <w:tcW w:w="5845" w:type="dxa"/>
          </w:tcPr>
          <w:p w14:paraId="5C651F8C" w14:textId="77777777" w:rsidR="00B14BD4" w:rsidRPr="00A76818" w:rsidRDefault="00B14BD4" w:rsidP="000604EE">
            <w:pPr>
              <w:contextualSpacing/>
              <w:rPr>
                <w:rFonts w:ascii="Calibri" w:hAnsi="Calibri" w:cs="Calibri"/>
                <w:b w:val="0"/>
                <w:bCs w:val="0"/>
                <w:color w:val="000000" w:themeColor="text1"/>
              </w:rPr>
            </w:pPr>
            <w:r w:rsidRPr="00A76818">
              <w:rPr>
                <w:rFonts w:ascii="Calibri" w:hAnsi="Calibri" w:cs="Calibri"/>
                <w:b w:val="0"/>
                <w:bCs w:val="0"/>
                <w:color w:val="000000" w:themeColor="text1"/>
              </w:rPr>
              <w:t>Fleeing/Attempting to flee DV</w:t>
            </w:r>
          </w:p>
        </w:tc>
        <w:tc>
          <w:tcPr>
            <w:tcW w:w="4140" w:type="dxa"/>
          </w:tcPr>
          <w:p w14:paraId="34B3C4E8" w14:textId="77777777" w:rsidR="00B14BD4" w:rsidRPr="00A76818" w:rsidRDefault="00B14BD4"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c>
          <w:tcPr>
            <w:tcW w:w="3960" w:type="dxa"/>
          </w:tcPr>
          <w:p w14:paraId="56ECD0BE" w14:textId="77777777" w:rsidR="00B14BD4" w:rsidRPr="000604EE" w:rsidRDefault="00B14BD4"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0"/>
                <w:szCs w:val="21"/>
              </w:rPr>
            </w:pPr>
          </w:p>
        </w:tc>
      </w:tr>
      <w:tr w:rsidR="00B14BD4" w:rsidRPr="000604EE" w14:paraId="09081BB5" w14:textId="77777777" w:rsidTr="00271B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845" w:type="dxa"/>
          </w:tcPr>
          <w:p w14:paraId="60662F42" w14:textId="77777777" w:rsidR="00B14BD4" w:rsidRPr="00A76818" w:rsidRDefault="00B14BD4" w:rsidP="000604EE">
            <w:pPr>
              <w:contextualSpacing/>
              <w:rPr>
                <w:rFonts w:ascii="Calibri" w:hAnsi="Calibri" w:cs="Calibri"/>
                <w:b w:val="0"/>
                <w:bCs w:val="0"/>
                <w:color w:val="000000" w:themeColor="text1"/>
              </w:rPr>
            </w:pPr>
            <w:r w:rsidRPr="00A76818">
              <w:rPr>
                <w:rFonts w:ascii="Calibri" w:hAnsi="Calibri" w:cs="Calibri"/>
                <w:b w:val="0"/>
                <w:bCs w:val="0"/>
                <w:color w:val="000000" w:themeColor="text1"/>
              </w:rPr>
              <w:t>Income Evaluation Required</w:t>
            </w:r>
          </w:p>
        </w:tc>
        <w:tc>
          <w:tcPr>
            <w:tcW w:w="4140" w:type="dxa"/>
          </w:tcPr>
          <w:p w14:paraId="21C1F1FF" w14:textId="7EE3F36D" w:rsidR="00B14BD4" w:rsidRPr="00A76818" w:rsidRDefault="00B14BD4"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c>
          <w:tcPr>
            <w:tcW w:w="3960" w:type="dxa"/>
          </w:tcPr>
          <w:p w14:paraId="6D524AAF" w14:textId="77777777" w:rsidR="00B14BD4" w:rsidRPr="00A76818" w:rsidRDefault="00B14BD4"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r>
      <w:tr w:rsidR="00B14BD4" w:rsidRPr="000604EE" w14:paraId="525BD245" w14:textId="77777777" w:rsidTr="00271B9B">
        <w:trPr>
          <w:trHeight w:val="413"/>
        </w:trPr>
        <w:tc>
          <w:tcPr>
            <w:cnfStyle w:val="001000000000" w:firstRow="0" w:lastRow="0" w:firstColumn="1" w:lastColumn="0" w:oddVBand="0" w:evenVBand="0" w:oddHBand="0" w:evenHBand="0" w:firstRowFirstColumn="0" w:firstRowLastColumn="0" w:lastRowFirstColumn="0" w:lastRowLastColumn="0"/>
            <w:tcW w:w="5845" w:type="dxa"/>
          </w:tcPr>
          <w:p w14:paraId="1AC07874" w14:textId="4F811702" w:rsidR="00B14BD4" w:rsidRPr="00A76818" w:rsidRDefault="00B14BD4" w:rsidP="000604EE">
            <w:pPr>
              <w:contextualSpacing/>
              <w:rPr>
                <w:rFonts w:ascii="Calibri" w:hAnsi="Calibri" w:cs="Calibri"/>
                <w:b w:val="0"/>
                <w:bCs w:val="0"/>
                <w:color w:val="000000" w:themeColor="text1"/>
              </w:rPr>
            </w:pPr>
            <w:r w:rsidRPr="00A76818">
              <w:rPr>
                <w:rFonts w:ascii="Calibri" w:hAnsi="Calibri" w:cs="Calibri"/>
                <w:b w:val="0"/>
                <w:bCs w:val="0"/>
                <w:color w:val="000000" w:themeColor="text1"/>
              </w:rPr>
              <w:t>Income Requirement</w:t>
            </w:r>
          </w:p>
        </w:tc>
        <w:tc>
          <w:tcPr>
            <w:tcW w:w="4140" w:type="dxa"/>
          </w:tcPr>
          <w:p w14:paraId="523F0BFD" w14:textId="12AE364C" w:rsidR="00B14BD4" w:rsidRPr="00A76818" w:rsidRDefault="00B14BD4"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30% AMI</w:t>
            </w:r>
          </w:p>
        </w:tc>
        <w:tc>
          <w:tcPr>
            <w:tcW w:w="3960" w:type="dxa"/>
          </w:tcPr>
          <w:p w14:paraId="586268D0" w14:textId="0062D1F9" w:rsidR="00B14BD4" w:rsidRPr="00A76818" w:rsidRDefault="00B14BD4"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30% AMI</w:t>
            </w:r>
          </w:p>
        </w:tc>
      </w:tr>
      <w:tr w:rsidR="00B14BD4" w:rsidRPr="000604EE" w14:paraId="328598A0" w14:textId="77777777" w:rsidTr="00271B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845" w:type="dxa"/>
          </w:tcPr>
          <w:p w14:paraId="171B933F" w14:textId="77777777" w:rsidR="00B14BD4" w:rsidRPr="00A76818" w:rsidRDefault="00B14BD4" w:rsidP="000604EE">
            <w:pPr>
              <w:contextualSpacing/>
              <w:rPr>
                <w:rFonts w:ascii="Calibri" w:hAnsi="Calibri" w:cs="Calibri"/>
                <w:b w:val="0"/>
                <w:bCs w:val="0"/>
                <w:color w:val="000000" w:themeColor="text1"/>
              </w:rPr>
            </w:pPr>
            <w:r w:rsidRPr="00A76818">
              <w:rPr>
                <w:rFonts w:ascii="Calibri" w:hAnsi="Calibri" w:cs="Calibri"/>
                <w:b w:val="0"/>
                <w:bCs w:val="0"/>
                <w:color w:val="000000" w:themeColor="text1"/>
              </w:rPr>
              <w:t xml:space="preserve">Need (Amount and Type of Assistance) </w:t>
            </w:r>
          </w:p>
        </w:tc>
        <w:tc>
          <w:tcPr>
            <w:tcW w:w="4140" w:type="dxa"/>
          </w:tcPr>
          <w:p w14:paraId="4777D633" w14:textId="77777777" w:rsidR="00B14BD4" w:rsidRPr="00A76818" w:rsidRDefault="00B14BD4"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c>
          <w:tcPr>
            <w:tcW w:w="3960" w:type="dxa"/>
          </w:tcPr>
          <w:p w14:paraId="05C6B11F" w14:textId="77777777" w:rsidR="00B14BD4" w:rsidRPr="00A76818" w:rsidRDefault="00B14BD4"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X</w:t>
            </w:r>
          </w:p>
        </w:tc>
      </w:tr>
      <w:tr w:rsidR="00B14BD4" w:rsidRPr="000604EE" w14:paraId="406CAB6E" w14:textId="77777777" w:rsidTr="00271B9B">
        <w:trPr>
          <w:trHeight w:val="413"/>
        </w:trPr>
        <w:tc>
          <w:tcPr>
            <w:cnfStyle w:val="001000000000" w:firstRow="0" w:lastRow="0" w:firstColumn="1" w:lastColumn="0" w:oddVBand="0" w:evenVBand="0" w:oddHBand="0" w:evenHBand="0" w:firstRowFirstColumn="0" w:firstRowLastColumn="0" w:lastRowFirstColumn="0" w:lastRowLastColumn="0"/>
            <w:tcW w:w="5845" w:type="dxa"/>
          </w:tcPr>
          <w:p w14:paraId="4A3D0BF7" w14:textId="77777777" w:rsidR="00B14BD4" w:rsidRPr="00A76818" w:rsidRDefault="00B14BD4" w:rsidP="000604EE">
            <w:pPr>
              <w:contextualSpacing/>
              <w:rPr>
                <w:rFonts w:ascii="Calibri" w:hAnsi="Calibri" w:cs="Calibri"/>
                <w:b w:val="0"/>
                <w:bCs w:val="0"/>
                <w:color w:val="000000" w:themeColor="text1"/>
              </w:rPr>
            </w:pPr>
            <w:r w:rsidRPr="00A76818">
              <w:rPr>
                <w:rFonts w:ascii="Calibri" w:hAnsi="Calibri" w:cs="Calibri"/>
                <w:b w:val="0"/>
                <w:bCs w:val="0"/>
                <w:color w:val="000000" w:themeColor="text1"/>
              </w:rPr>
              <w:t>Lacking Resources and Support Network</w:t>
            </w:r>
          </w:p>
        </w:tc>
        <w:tc>
          <w:tcPr>
            <w:tcW w:w="4140" w:type="dxa"/>
          </w:tcPr>
          <w:p w14:paraId="6B4C6F6C" w14:textId="77777777" w:rsidR="00B14BD4" w:rsidRPr="000604EE" w:rsidRDefault="00B14BD4"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0"/>
                <w:szCs w:val="21"/>
              </w:rPr>
            </w:pPr>
          </w:p>
        </w:tc>
        <w:tc>
          <w:tcPr>
            <w:tcW w:w="3960" w:type="dxa"/>
          </w:tcPr>
          <w:p w14:paraId="10D7C351" w14:textId="77777777" w:rsidR="00B14BD4" w:rsidRPr="000604EE" w:rsidRDefault="00B14BD4"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0"/>
                <w:szCs w:val="21"/>
              </w:rPr>
            </w:pPr>
          </w:p>
        </w:tc>
      </w:tr>
    </w:tbl>
    <w:p w14:paraId="310DC40B" w14:textId="77777777" w:rsidR="00271B9B" w:rsidRDefault="00271B9B" w:rsidP="00271B9B">
      <w:pPr>
        <w:tabs>
          <w:tab w:val="left" w:pos="4144"/>
        </w:tabs>
        <w:contextualSpacing/>
        <w:rPr>
          <w:rFonts w:ascii="Calibri" w:hAnsi="Calibri" w:cs="Calibri"/>
          <w:color w:val="000000" w:themeColor="text1"/>
        </w:rPr>
      </w:pPr>
      <w:r w:rsidRPr="00A76818">
        <w:rPr>
          <w:rFonts w:ascii="Calibri" w:hAnsi="Calibri" w:cs="Calibri"/>
          <w:color w:val="000000" w:themeColor="text1"/>
        </w:rPr>
        <w:t>*Eligible only if also literally homeless</w:t>
      </w:r>
      <w:r w:rsidRPr="00A76818">
        <w:rPr>
          <w:rFonts w:ascii="Calibri" w:hAnsi="Calibri" w:cs="Calibri"/>
          <w:color w:val="000000" w:themeColor="text1"/>
        </w:rPr>
        <w:tab/>
      </w:r>
    </w:p>
    <w:p w14:paraId="23F96CDC" w14:textId="77777777" w:rsidR="00BC6C26" w:rsidRPr="00A76818" w:rsidRDefault="00BC6C26" w:rsidP="000604EE">
      <w:pPr>
        <w:contextualSpacing/>
        <w:rPr>
          <w:rFonts w:ascii="Calibri" w:hAnsi="Calibri" w:cs="Calibri"/>
          <w:color w:val="000000" w:themeColor="text1"/>
        </w:rPr>
      </w:pPr>
    </w:p>
    <w:p w14:paraId="5E415ED8" w14:textId="7EBB4005" w:rsidR="00E16BCE" w:rsidRDefault="00E16BCE" w:rsidP="00E16BCE">
      <w:pPr>
        <w:tabs>
          <w:tab w:val="left" w:pos="4144"/>
        </w:tabs>
        <w:contextualSpacing/>
        <w:rPr>
          <w:rFonts w:ascii="Calibri" w:hAnsi="Calibri" w:cs="Calibri"/>
          <w:color w:val="000000" w:themeColor="text1"/>
        </w:rPr>
      </w:pPr>
    </w:p>
    <w:p w14:paraId="321BA5C6" w14:textId="77777777" w:rsidR="00E16BCE" w:rsidRPr="0061434B" w:rsidRDefault="00E16BCE">
      <w:pPr>
        <w:pStyle w:val="Heading2"/>
        <w:numPr>
          <w:ilvl w:val="0"/>
          <w:numId w:val="67"/>
        </w:numPr>
        <w:spacing w:before="0" w:line="240" w:lineRule="auto"/>
        <w:ind w:left="270"/>
        <w:contextualSpacing/>
        <w:rPr>
          <w:color w:val="0070C0"/>
        </w:rPr>
      </w:pPr>
      <w:bookmarkStart w:id="154" w:name="_Toc124255061"/>
      <w:r w:rsidRPr="0061434B">
        <w:rPr>
          <w:color w:val="0070C0"/>
        </w:rPr>
        <w:t>Housing Requirements</w:t>
      </w:r>
      <w:bookmarkEnd w:id="154"/>
    </w:p>
    <w:p w14:paraId="34FEF54A" w14:textId="77777777" w:rsidR="00E16BCE" w:rsidRDefault="00E16BCE">
      <w:pPr>
        <w:pStyle w:val="ListParagraph"/>
        <w:numPr>
          <w:ilvl w:val="0"/>
          <w:numId w:val="68"/>
        </w:numPr>
        <w:rPr>
          <w:rFonts w:ascii="Calibri" w:hAnsi="Calibri"/>
          <w:color w:val="000000" w:themeColor="text1"/>
        </w:rPr>
      </w:pPr>
      <w:r w:rsidRPr="00A76818">
        <w:rPr>
          <w:rFonts w:ascii="Calibri" w:hAnsi="Calibri"/>
          <w:color w:val="000000" w:themeColor="text1"/>
        </w:rPr>
        <w:t xml:space="preserve">Overview </w:t>
      </w:r>
    </w:p>
    <w:p w14:paraId="7DB1895A" w14:textId="77777777" w:rsidR="00E16BCE" w:rsidRPr="00BF1A00" w:rsidRDefault="00E16BCE">
      <w:pPr>
        <w:pStyle w:val="ListParagraph"/>
        <w:numPr>
          <w:ilvl w:val="2"/>
          <w:numId w:val="68"/>
        </w:numPr>
        <w:rPr>
          <w:rFonts w:ascii="Calibri" w:hAnsi="Calibri"/>
          <w:color w:val="000000" w:themeColor="text1"/>
        </w:rPr>
      </w:pPr>
      <w:r w:rsidRPr="00BF1A00">
        <w:rPr>
          <w:rFonts w:ascii="Calibri" w:hAnsi="Calibri" w:cs="Calibri"/>
          <w:color w:val="000000" w:themeColor="text1"/>
        </w:rPr>
        <w:t xml:space="preserve">Service providers will approve households for the minimum amount of rental assistance necessary to prevent homelessness. Households shall not be approved for more rental assistance than can be justified given their income and expenses at a given time. </w:t>
      </w:r>
    </w:p>
    <w:p w14:paraId="69B37DF6" w14:textId="3F6E1893" w:rsidR="00E16BCE" w:rsidRPr="00BF1A00" w:rsidRDefault="00E16BCE">
      <w:pPr>
        <w:pStyle w:val="ListParagraph"/>
        <w:numPr>
          <w:ilvl w:val="2"/>
          <w:numId w:val="68"/>
        </w:numPr>
        <w:rPr>
          <w:rFonts w:ascii="Calibri" w:hAnsi="Calibri"/>
          <w:color w:val="000000" w:themeColor="text1"/>
        </w:rPr>
      </w:pPr>
      <w:r w:rsidRPr="00BF1A00">
        <w:rPr>
          <w:rFonts w:ascii="Calibri" w:hAnsi="Calibri" w:cs="Calibri"/>
          <w:color w:val="000000" w:themeColor="text1"/>
        </w:rPr>
        <w:t>All RRH and HP units must also comply with the “Housing Requirements” (pg. 9-13).</w:t>
      </w:r>
    </w:p>
    <w:p w14:paraId="208D3066" w14:textId="23B69A5C" w:rsidR="00E16BCE" w:rsidRDefault="00E16BCE" w:rsidP="00E16BCE">
      <w:pPr>
        <w:tabs>
          <w:tab w:val="left" w:pos="4144"/>
        </w:tabs>
        <w:contextualSpacing/>
        <w:rPr>
          <w:rFonts w:ascii="Calibri" w:hAnsi="Calibri" w:cs="Calibri"/>
          <w:color w:val="000000" w:themeColor="text1"/>
        </w:rPr>
      </w:pPr>
    </w:p>
    <w:p w14:paraId="2F4C92DD" w14:textId="77777777" w:rsidR="00271B9B" w:rsidRDefault="00271B9B" w:rsidP="00E16BCE">
      <w:pPr>
        <w:tabs>
          <w:tab w:val="left" w:pos="4144"/>
        </w:tabs>
        <w:contextualSpacing/>
        <w:rPr>
          <w:rFonts w:ascii="Calibri" w:hAnsi="Calibri" w:cs="Calibri"/>
          <w:color w:val="000000" w:themeColor="text1"/>
        </w:rPr>
      </w:pPr>
    </w:p>
    <w:p w14:paraId="13A99D90" w14:textId="3999D11B" w:rsidR="00E16BCE" w:rsidRPr="0061434B" w:rsidRDefault="00E16BCE">
      <w:pPr>
        <w:pStyle w:val="Heading2"/>
        <w:numPr>
          <w:ilvl w:val="0"/>
          <w:numId w:val="67"/>
        </w:numPr>
        <w:spacing w:before="0" w:line="240" w:lineRule="auto"/>
        <w:ind w:left="270"/>
        <w:contextualSpacing/>
        <w:rPr>
          <w:color w:val="0070C0"/>
        </w:rPr>
      </w:pPr>
      <w:bookmarkStart w:id="155" w:name="_Toc124255062"/>
      <w:r w:rsidRPr="0061434B">
        <w:rPr>
          <w:color w:val="0070C0"/>
        </w:rPr>
        <w:t>Service Requirements</w:t>
      </w:r>
      <w:bookmarkEnd w:id="155"/>
    </w:p>
    <w:p w14:paraId="44914AE1" w14:textId="77777777" w:rsidR="00E16BCE" w:rsidRDefault="00E16BCE">
      <w:pPr>
        <w:pStyle w:val="ListParagraph"/>
        <w:numPr>
          <w:ilvl w:val="0"/>
          <w:numId w:val="69"/>
        </w:numPr>
        <w:rPr>
          <w:rFonts w:ascii="Calibri" w:hAnsi="Calibri"/>
          <w:color w:val="000000" w:themeColor="text1"/>
        </w:rPr>
      </w:pPr>
      <w:r w:rsidRPr="00A76818">
        <w:rPr>
          <w:rFonts w:ascii="Calibri" w:hAnsi="Calibri"/>
          <w:color w:val="000000" w:themeColor="text1"/>
        </w:rPr>
        <w:t xml:space="preserve">Overview </w:t>
      </w:r>
    </w:p>
    <w:p w14:paraId="63616EE6" w14:textId="77777777" w:rsidR="00E16BCE" w:rsidRPr="00E16BCE" w:rsidRDefault="00E16BCE">
      <w:pPr>
        <w:pStyle w:val="ListParagraph"/>
        <w:numPr>
          <w:ilvl w:val="1"/>
          <w:numId w:val="69"/>
        </w:numPr>
        <w:rPr>
          <w:rFonts w:ascii="Calibri" w:hAnsi="Calibri"/>
          <w:color w:val="000000" w:themeColor="text1"/>
        </w:rPr>
      </w:pPr>
      <w:r w:rsidRPr="00E16BCE">
        <w:rPr>
          <w:rFonts w:ascii="Calibri" w:hAnsi="Calibri" w:cs="Calibri"/>
          <w:color w:val="000000" w:themeColor="text1"/>
        </w:rPr>
        <w:t xml:space="preserve">Stabilization services are offered to each household based on demonstrated need, in support of permanent housing retention and stabilization. </w:t>
      </w:r>
    </w:p>
    <w:p w14:paraId="2CBDA60D" w14:textId="77777777" w:rsidR="00E16BCE" w:rsidRPr="00E16BCE" w:rsidRDefault="00E16BCE">
      <w:pPr>
        <w:pStyle w:val="ListParagraph"/>
        <w:numPr>
          <w:ilvl w:val="2"/>
          <w:numId w:val="69"/>
        </w:numPr>
        <w:rPr>
          <w:rFonts w:ascii="Calibri" w:hAnsi="Calibri"/>
          <w:color w:val="000000" w:themeColor="text1"/>
        </w:rPr>
      </w:pPr>
      <w:r w:rsidRPr="00E16BCE">
        <w:rPr>
          <w:rFonts w:ascii="Calibri" w:hAnsi="Calibri" w:cs="Calibri"/>
          <w:color w:val="000000" w:themeColor="text1"/>
        </w:rPr>
        <w:lastRenderedPageBreak/>
        <w:t xml:space="preserve">Households are assisted with creating and (for ongoing assistance) updating individualized Housing Stability Plans, designed to re-house and stabilize households as quickly as possible. </w:t>
      </w:r>
    </w:p>
    <w:p w14:paraId="41EC6CD8" w14:textId="77777777" w:rsidR="00E16BCE" w:rsidRPr="00E16BCE" w:rsidRDefault="00E16BCE">
      <w:pPr>
        <w:pStyle w:val="ListParagraph"/>
        <w:numPr>
          <w:ilvl w:val="3"/>
          <w:numId w:val="69"/>
        </w:numPr>
        <w:rPr>
          <w:rFonts w:ascii="Calibri" w:hAnsi="Calibri"/>
          <w:color w:val="000000" w:themeColor="text1"/>
        </w:rPr>
      </w:pPr>
      <w:r w:rsidRPr="00E16BCE">
        <w:rPr>
          <w:rFonts w:ascii="Calibri" w:hAnsi="Calibri" w:cs="Calibri"/>
          <w:color w:val="000000" w:themeColor="text1"/>
        </w:rPr>
        <w:t xml:space="preserve">Services are offered in support of the goals identified in the household’s Housing Stability Plan and are proportional to the household’s need, as measured by the modified VI-SPDAT. </w:t>
      </w:r>
    </w:p>
    <w:p w14:paraId="736FAEC2" w14:textId="77777777" w:rsidR="00E16BCE" w:rsidRPr="00E16BCE" w:rsidRDefault="00E16BCE">
      <w:pPr>
        <w:pStyle w:val="ListParagraph"/>
        <w:numPr>
          <w:ilvl w:val="3"/>
          <w:numId w:val="69"/>
        </w:numPr>
        <w:rPr>
          <w:rFonts w:ascii="Calibri" w:hAnsi="Calibri"/>
          <w:color w:val="000000" w:themeColor="text1"/>
        </w:rPr>
      </w:pPr>
      <w:r w:rsidRPr="00E16BCE">
        <w:rPr>
          <w:rFonts w:ascii="Calibri" w:hAnsi="Calibri" w:cs="Calibri"/>
          <w:color w:val="000000" w:themeColor="text1"/>
        </w:rPr>
        <w:t xml:space="preserve">Services are provided without pre-conditions such as employment or sobriety. </w:t>
      </w:r>
    </w:p>
    <w:p w14:paraId="299B2398" w14:textId="77777777" w:rsidR="00E16BCE" w:rsidRPr="00E16BCE" w:rsidRDefault="00E16BCE">
      <w:pPr>
        <w:pStyle w:val="ListParagraph"/>
        <w:numPr>
          <w:ilvl w:val="2"/>
          <w:numId w:val="69"/>
        </w:numPr>
        <w:rPr>
          <w:rFonts w:ascii="Calibri" w:hAnsi="Calibri"/>
          <w:color w:val="000000" w:themeColor="text1"/>
        </w:rPr>
      </w:pPr>
      <w:r w:rsidRPr="00E16BCE">
        <w:rPr>
          <w:rFonts w:ascii="Calibri" w:hAnsi="Calibri" w:cs="Calibri"/>
          <w:color w:val="000000" w:themeColor="text1"/>
        </w:rPr>
        <w:t xml:space="preserve">For more detail about services eligible for ESG funding, please see the most recent version of the ESG Eligible Expense Guide: </w:t>
      </w:r>
      <w:hyperlink r:id="rId27" w:history="1">
        <w:r w:rsidRPr="00E16BCE">
          <w:rPr>
            <w:rStyle w:val="Hyperlink"/>
            <w:rFonts w:ascii="Calibri" w:hAnsi="Calibri" w:cs="Calibri"/>
            <w:color w:val="000000" w:themeColor="text1"/>
          </w:rPr>
          <w:t>https://www.hcd.ca.gov/grants-funding/docs/ESG-Eligible-Expense-Guide.pdf</w:t>
        </w:r>
      </w:hyperlink>
      <w:r w:rsidRPr="00E16BCE">
        <w:rPr>
          <w:rFonts w:ascii="Calibri" w:hAnsi="Calibri" w:cs="Calibri"/>
          <w:color w:val="000000" w:themeColor="text1"/>
        </w:rPr>
        <w:t xml:space="preserve"> </w:t>
      </w:r>
    </w:p>
    <w:p w14:paraId="07519618" w14:textId="77777777" w:rsidR="00E16BCE" w:rsidRPr="00E16BCE" w:rsidRDefault="00E16BCE">
      <w:pPr>
        <w:pStyle w:val="ListParagraph"/>
        <w:numPr>
          <w:ilvl w:val="2"/>
          <w:numId w:val="69"/>
        </w:numPr>
        <w:rPr>
          <w:rFonts w:ascii="Calibri" w:hAnsi="Calibri"/>
          <w:color w:val="000000" w:themeColor="text1"/>
        </w:rPr>
      </w:pPr>
      <w:r w:rsidRPr="00E16BCE">
        <w:rPr>
          <w:rFonts w:ascii="Calibri" w:hAnsi="Calibri" w:cs="Calibri"/>
          <w:color w:val="000000" w:themeColor="text1"/>
        </w:rPr>
        <w:t xml:space="preserve">Please note: Participation in services unrelated to obtaining permanent housing are voluntary. </w:t>
      </w:r>
    </w:p>
    <w:p w14:paraId="5CC79B09" w14:textId="7782ABAC" w:rsidR="00E16BCE" w:rsidRPr="00E16BCE" w:rsidRDefault="00E16BCE">
      <w:pPr>
        <w:pStyle w:val="ListParagraph"/>
        <w:numPr>
          <w:ilvl w:val="0"/>
          <w:numId w:val="69"/>
        </w:numPr>
        <w:rPr>
          <w:rFonts w:ascii="Calibri" w:hAnsi="Calibri"/>
          <w:color w:val="000000" w:themeColor="text1"/>
        </w:rPr>
      </w:pPr>
      <w:r w:rsidRPr="00E16BCE">
        <w:rPr>
          <w:rFonts w:ascii="Calibri" w:hAnsi="Calibri" w:cs="Calibri"/>
          <w:color w:val="000000" w:themeColor="text1"/>
        </w:rPr>
        <w:t xml:space="preserve">The following chart outlines eligible supportive services that can be funded through ESG-HP. </w:t>
      </w:r>
    </w:p>
    <w:p w14:paraId="6D0E4911" w14:textId="7D08FC65" w:rsidR="00E16BCE" w:rsidRPr="00E16BCE" w:rsidRDefault="00E16BCE">
      <w:pPr>
        <w:pStyle w:val="ListParagraph"/>
        <w:numPr>
          <w:ilvl w:val="2"/>
          <w:numId w:val="69"/>
        </w:numPr>
        <w:rPr>
          <w:rFonts w:ascii="Calibri" w:hAnsi="Calibri"/>
          <w:color w:val="000000" w:themeColor="text1"/>
        </w:rPr>
      </w:pPr>
      <w:r w:rsidRPr="00E16BCE">
        <w:rPr>
          <w:rFonts w:ascii="Calibri" w:hAnsi="Calibri" w:cs="Calibri"/>
          <w:color w:val="000000" w:themeColor="text1"/>
        </w:rPr>
        <w:t>Please note, service providers may refer households to additional programs, not funded by ESG or CoC, that do not meet the following requirements.</w:t>
      </w:r>
    </w:p>
    <w:p w14:paraId="0C7BCE34" w14:textId="4261402B" w:rsidR="00E16BCE" w:rsidRPr="00E16BCE" w:rsidRDefault="00E16BCE" w:rsidP="00E16BCE">
      <w:pPr>
        <w:tabs>
          <w:tab w:val="left" w:pos="4144"/>
        </w:tabs>
        <w:contextualSpacing/>
        <w:rPr>
          <w:rFonts w:ascii="Calibri" w:hAnsi="Calibri" w:cs="Calibri"/>
          <w:color w:val="000000" w:themeColor="text1"/>
        </w:rPr>
      </w:pPr>
    </w:p>
    <w:p w14:paraId="27E784B8" w14:textId="77777777" w:rsidR="00E16BCE" w:rsidRPr="00A76818" w:rsidRDefault="00E16BCE" w:rsidP="00E16BCE">
      <w:pPr>
        <w:tabs>
          <w:tab w:val="left" w:pos="4144"/>
        </w:tabs>
        <w:contextualSpacing/>
        <w:rPr>
          <w:rFonts w:ascii="Calibri" w:hAnsi="Calibri" w:cs="Calibri"/>
          <w:color w:val="000000" w:themeColor="text1"/>
        </w:rPr>
      </w:pPr>
    </w:p>
    <w:tbl>
      <w:tblPr>
        <w:tblStyle w:val="GridTable4-Accent1"/>
        <w:tblW w:w="12865" w:type="dxa"/>
        <w:tblLook w:val="04A0" w:firstRow="1" w:lastRow="0" w:firstColumn="1" w:lastColumn="0" w:noHBand="0" w:noVBand="1"/>
      </w:tblPr>
      <w:tblGrid>
        <w:gridCol w:w="1075"/>
        <w:gridCol w:w="11790"/>
      </w:tblGrid>
      <w:tr w:rsidR="00B14BD4" w:rsidRPr="00A76818" w14:paraId="5FC52985" w14:textId="77777777" w:rsidTr="00271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2"/>
          </w:tcPr>
          <w:p w14:paraId="491257F5" w14:textId="17834880" w:rsidR="00B14BD4" w:rsidRPr="00A76818" w:rsidRDefault="00B14BD4" w:rsidP="00585009">
            <w:pPr>
              <w:contextualSpacing/>
              <w:rPr>
                <w:rFonts w:ascii="Calibri" w:hAnsi="Calibri" w:cs="Calibri"/>
                <w:b w:val="0"/>
                <w:bCs w:val="0"/>
                <w:color w:val="000000" w:themeColor="text1"/>
              </w:rPr>
            </w:pPr>
            <w:r w:rsidRPr="00A76818">
              <w:rPr>
                <w:rFonts w:ascii="Calibri" w:hAnsi="Calibri" w:cs="Calibri"/>
                <w:b w:val="0"/>
                <w:bCs w:val="0"/>
                <w:color w:val="000000" w:themeColor="text1"/>
              </w:rPr>
              <w:t>Summary of Eligible Supportive Services</w:t>
            </w:r>
          </w:p>
        </w:tc>
      </w:tr>
      <w:tr w:rsidR="00B14BD4" w:rsidRPr="00A76818" w14:paraId="7E76ED99" w14:textId="77777777" w:rsidTr="0027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29D6B327" w14:textId="77777777" w:rsidR="00B14BD4" w:rsidRPr="00A76818" w:rsidRDefault="00B14BD4" w:rsidP="00585009">
            <w:pPr>
              <w:contextualSpacing/>
              <w:rPr>
                <w:rFonts w:ascii="Calibri" w:hAnsi="Calibri" w:cs="Calibri"/>
                <w:b w:val="0"/>
                <w:bCs w:val="0"/>
                <w:color w:val="000000" w:themeColor="text1"/>
              </w:rPr>
            </w:pPr>
          </w:p>
        </w:tc>
        <w:tc>
          <w:tcPr>
            <w:tcW w:w="11790" w:type="dxa"/>
          </w:tcPr>
          <w:p w14:paraId="1C122089" w14:textId="0787FA5F" w:rsidR="00B14BD4" w:rsidRPr="00A76818" w:rsidRDefault="00B14BD4"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ESG-HP</w:t>
            </w:r>
          </w:p>
        </w:tc>
      </w:tr>
      <w:tr w:rsidR="00B14BD4" w:rsidRPr="00A76818" w14:paraId="4CFC97F6" w14:textId="77777777" w:rsidTr="00271B9B">
        <w:trPr>
          <w:trHeight w:val="1134"/>
        </w:trPr>
        <w:tc>
          <w:tcPr>
            <w:cnfStyle w:val="001000000000" w:firstRow="0" w:lastRow="0" w:firstColumn="1" w:lastColumn="0" w:oddVBand="0" w:evenVBand="0" w:oddHBand="0" w:evenHBand="0" w:firstRowFirstColumn="0" w:firstRowLastColumn="0" w:lastRowFirstColumn="0" w:lastRowLastColumn="0"/>
            <w:tcW w:w="1075" w:type="dxa"/>
            <w:textDirection w:val="btLr"/>
          </w:tcPr>
          <w:p w14:paraId="338611E0" w14:textId="77777777" w:rsidR="00B14BD4" w:rsidRPr="00A76818" w:rsidRDefault="00B14BD4" w:rsidP="00585009">
            <w:pPr>
              <w:ind w:left="113" w:right="113"/>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t>Case</w:t>
            </w:r>
          </w:p>
          <w:p w14:paraId="39688BA0" w14:textId="77777777" w:rsidR="00B14BD4" w:rsidRPr="00A76818" w:rsidRDefault="00B14BD4" w:rsidP="00585009">
            <w:pPr>
              <w:ind w:left="113" w:right="113"/>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t>Management</w:t>
            </w:r>
          </w:p>
          <w:p w14:paraId="7AC15D60" w14:textId="77777777" w:rsidR="00B14BD4" w:rsidRPr="00A76818" w:rsidRDefault="00B14BD4" w:rsidP="00585009">
            <w:pPr>
              <w:ind w:left="113" w:right="113"/>
              <w:contextualSpacing/>
              <w:jc w:val="center"/>
              <w:rPr>
                <w:rFonts w:ascii="Calibri" w:hAnsi="Calibri" w:cs="Calibri"/>
                <w:b w:val="0"/>
                <w:bCs w:val="0"/>
                <w:color w:val="000000" w:themeColor="text1"/>
              </w:rPr>
            </w:pPr>
          </w:p>
        </w:tc>
        <w:tc>
          <w:tcPr>
            <w:tcW w:w="11790" w:type="dxa"/>
          </w:tcPr>
          <w:p w14:paraId="2D7FDEE8" w14:textId="77777777" w:rsidR="00B14BD4" w:rsidRPr="00A76818" w:rsidRDefault="00B14BD4"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Assessing, arranging, coordinating, and monitoring the delivery of individualized services to facilitate housing stability for each household that resides in permanent housing or to assist a household in overcoming immediate barriers to obtaining housing by, for example:</w:t>
            </w:r>
          </w:p>
          <w:p w14:paraId="1D972CD2" w14:textId="77777777" w:rsidR="00B14BD4" w:rsidRPr="00A76818" w:rsidRDefault="00B14BD4">
            <w:pPr>
              <w:pStyle w:val="ListParagraph"/>
              <w:numPr>
                <w:ilvl w:val="0"/>
                <w:numId w:val="5"/>
              </w:numPr>
              <w:ind w:left="41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Conducting the initial evaluation, including verifying and documenting eligibility</w:t>
            </w:r>
          </w:p>
          <w:p w14:paraId="4B9F3327" w14:textId="77777777" w:rsidR="00B14BD4" w:rsidRPr="00A76818" w:rsidRDefault="00B14BD4">
            <w:pPr>
              <w:pStyle w:val="ListParagraph"/>
              <w:numPr>
                <w:ilvl w:val="0"/>
                <w:numId w:val="5"/>
              </w:numPr>
              <w:ind w:left="41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Using the coordinated entry system</w:t>
            </w:r>
          </w:p>
          <w:p w14:paraId="357A4838" w14:textId="77777777" w:rsidR="00B14BD4" w:rsidRPr="00A76818" w:rsidRDefault="00B14BD4">
            <w:pPr>
              <w:pStyle w:val="ListParagraph"/>
              <w:numPr>
                <w:ilvl w:val="0"/>
                <w:numId w:val="5"/>
              </w:numPr>
              <w:ind w:left="41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Counseling</w:t>
            </w:r>
          </w:p>
          <w:p w14:paraId="2F315926" w14:textId="77777777" w:rsidR="00B14BD4" w:rsidRPr="00A76818" w:rsidRDefault="00B14BD4">
            <w:pPr>
              <w:pStyle w:val="ListParagraph"/>
              <w:numPr>
                <w:ilvl w:val="0"/>
                <w:numId w:val="5"/>
              </w:numPr>
              <w:ind w:left="41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Developing, securing, and coordinating services</w:t>
            </w:r>
          </w:p>
          <w:p w14:paraId="1335C140" w14:textId="77777777" w:rsidR="00B14BD4" w:rsidRPr="00A76818" w:rsidRDefault="00B14BD4">
            <w:pPr>
              <w:pStyle w:val="ListParagraph"/>
              <w:numPr>
                <w:ilvl w:val="0"/>
                <w:numId w:val="5"/>
              </w:numPr>
              <w:ind w:left="41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Obtaining Federal, State, and local benefits</w:t>
            </w:r>
          </w:p>
          <w:p w14:paraId="104381CE" w14:textId="77777777" w:rsidR="00B14BD4" w:rsidRPr="00A76818" w:rsidRDefault="00B14BD4">
            <w:pPr>
              <w:pStyle w:val="ListParagraph"/>
              <w:numPr>
                <w:ilvl w:val="0"/>
                <w:numId w:val="5"/>
              </w:numPr>
              <w:ind w:left="41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Monitoring and evaluating program household progress</w:t>
            </w:r>
          </w:p>
          <w:p w14:paraId="08D76F3E" w14:textId="77777777" w:rsidR="00B14BD4" w:rsidRPr="00A76818" w:rsidRDefault="00B14BD4">
            <w:pPr>
              <w:pStyle w:val="ListParagraph"/>
              <w:numPr>
                <w:ilvl w:val="0"/>
                <w:numId w:val="5"/>
              </w:numPr>
              <w:ind w:left="41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Providing information and referrals to other service providers</w:t>
            </w:r>
          </w:p>
          <w:p w14:paraId="4BD341DD" w14:textId="77777777" w:rsidR="00B14BD4" w:rsidRPr="00A76818" w:rsidRDefault="00B14BD4">
            <w:pPr>
              <w:pStyle w:val="ListParagraph"/>
              <w:numPr>
                <w:ilvl w:val="0"/>
                <w:numId w:val="5"/>
              </w:numPr>
              <w:ind w:left="41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Developing a Housing Stability Plan with each household</w:t>
            </w:r>
          </w:p>
          <w:p w14:paraId="029298CD" w14:textId="77777777" w:rsidR="00B14BD4" w:rsidRPr="00B11059" w:rsidRDefault="00B14BD4">
            <w:pPr>
              <w:pStyle w:val="ListParagraph"/>
              <w:numPr>
                <w:ilvl w:val="0"/>
                <w:numId w:val="5"/>
              </w:numPr>
              <w:ind w:left="414"/>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Conducting regular assessments of service needs and income </w:t>
            </w:r>
          </w:p>
        </w:tc>
      </w:tr>
      <w:tr w:rsidR="00B14BD4" w:rsidRPr="00A76818" w14:paraId="723C6F6A" w14:textId="77777777" w:rsidTr="00271B9B">
        <w:trPr>
          <w:cnfStyle w:val="000000100000" w:firstRow="0" w:lastRow="0" w:firstColumn="0" w:lastColumn="0" w:oddVBand="0" w:evenVBand="0" w:oddHBand="1" w:evenHBand="0" w:firstRowFirstColumn="0" w:firstRowLastColumn="0" w:lastRowFirstColumn="0" w:lastRowLastColumn="0"/>
          <w:trHeight w:val="5120"/>
        </w:trPr>
        <w:tc>
          <w:tcPr>
            <w:cnfStyle w:val="001000000000" w:firstRow="0" w:lastRow="0" w:firstColumn="1" w:lastColumn="0" w:oddVBand="0" w:evenVBand="0" w:oddHBand="0" w:evenHBand="0" w:firstRowFirstColumn="0" w:firstRowLastColumn="0" w:lastRowFirstColumn="0" w:lastRowLastColumn="0"/>
            <w:tcW w:w="1075" w:type="dxa"/>
            <w:textDirection w:val="btLr"/>
          </w:tcPr>
          <w:p w14:paraId="115E87A6" w14:textId="77777777" w:rsidR="00B14BD4" w:rsidRPr="00A76818" w:rsidRDefault="00B14BD4" w:rsidP="00585009">
            <w:pPr>
              <w:ind w:left="113" w:right="113"/>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lastRenderedPageBreak/>
              <w:t>Legal</w:t>
            </w:r>
          </w:p>
          <w:p w14:paraId="72869629" w14:textId="77777777" w:rsidR="00B14BD4" w:rsidRPr="00A76818" w:rsidRDefault="00B14BD4" w:rsidP="00585009">
            <w:pPr>
              <w:ind w:left="113" w:right="113"/>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t>Services</w:t>
            </w:r>
          </w:p>
          <w:p w14:paraId="303B9F34" w14:textId="77777777" w:rsidR="00B14BD4" w:rsidRPr="00A76818" w:rsidRDefault="00B14BD4" w:rsidP="00585009">
            <w:pPr>
              <w:ind w:left="113" w:right="113"/>
              <w:contextualSpacing/>
              <w:jc w:val="center"/>
              <w:rPr>
                <w:rFonts w:ascii="Calibri" w:hAnsi="Calibri" w:cs="Calibri"/>
                <w:b w:val="0"/>
                <w:bCs w:val="0"/>
                <w:color w:val="000000" w:themeColor="text1"/>
              </w:rPr>
            </w:pPr>
          </w:p>
        </w:tc>
        <w:tc>
          <w:tcPr>
            <w:tcW w:w="11790" w:type="dxa"/>
          </w:tcPr>
          <w:p w14:paraId="0CF13960" w14:textId="77777777" w:rsidR="00B14BD4" w:rsidRPr="00A76818" w:rsidRDefault="00B14BD4"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Costs of resolving a legal problem that prohibit a household from obtaining or retaining permanent housing. Legal services or activities include household intake, preparation of cases for trial, provision of legal advice, representation at hearings, and counseling. Filing fees and other necessary court costs are also eligible. Legal services are subject to the following provisions:</w:t>
            </w:r>
          </w:p>
          <w:p w14:paraId="1D32C07D" w14:textId="77777777" w:rsidR="00B14BD4" w:rsidRPr="00A76818" w:rsidRDefault="00B14BD4">
            <w:pPr>
              <w:pStyle w:val="ListParagraph"/>
              <w:numPr>
                <w:ilvl w:val="0"/>
                <w:numId w:val="7"/>
              </w:numPr>
              <w:ind w:left="414"/>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u w:val="single"/>
              </w:rPr>
              <w:t>Eligible Billing Arrangements</w:t>
            </w:r>
            <w:r w:rsidRPr="00A76818">
              <w:rPr>
                <w:rFonts w:ascii="Calibri" w:hAnsi="Calibri" w:cs="Calibri"/>
                <w:color w:val="000000" w:themeColor="text1"/>
              </w:rPr>
              <w:t xml:space="preserve"> ESG funds may be used only for legal advice from and representation by licensed attorneys and by person(s) under the supervision of licensed attorneys.</w:t>
            </w:r>
          </w:p>
          <w:p w14:paraId="3F0F401F" w14:textId="77777777" w:rsidR="00B14BD4" w:rsidRPr="00A76818" w:rsidRDefault="00B14BD4">
            <w:pPr>
              <w:pStyle w:val="ListParagraph"/>
              <w:numPr>
                <w:ilvl w:val="1"/>
                <w:numId w:val="7"/>
              </w:numPr>
              <w:ind w:left="864"/>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Costs may be based on:</w:t>
            </w:r>
          </w:p>
          <w:p w14:paraId="471BAE64" w14:textId="77777777" w:rsidR="00B14BD4" w:rsidRPr="00A76818" w:rsidRDefault="00B14BD4">
            <w:pPr>
              <w:pStyle w:val="ListParagraph"/>
              <w:numPr>
                <w:ilvl w:val="2"/>
                <w:numId w:val="7"/>
              </w:numPr>
              <w:ind w:left="1134" w:hanging="27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Hourly fees</w:t>
            </w:r>
          </w:p>
          <w:p w14:paraId="0BFE16F6" w14:textId="77777777" w:rsidR="00B14BD4" w:rsidRPr="00A76818" w:rsidRDefault="00B14BD4">
            <w:pPr>
              <w:pStyle w:val="ListParagraph"/>
              <w:numPr>
                <w:ilvl w:val="2"/>
                <w:numId w:val="7"/>
              </w:numPr>
              <w:ind w:left="1134" w:hanging="27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Fees based on the actual service performed (i.e., fee for service) but only if the cost would be less than the cost of hourly fees</w:t>
            </w:r>
          </w:p>
          <w:p w14:paraId="2DC38CAC" w14:textId="77777777" w:rsidR="00B14BD4" w:rsidRPr="00A76818" w:rsidRDefault="00B14BD4">
            <w:pPr>
              <w:pStyle w:val="ListParagraph"/>
              <w:numPr>
                <w:ilvl w:val="0"/>
                <w:numId w:val="7"/>
              </w:numPr>
              <w:ind w:left="414"/>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u w:val="single"/>
              </w:rPr>
              <w:t>Ineligible Billing Arrangements</w:t>
            </w:r>
            <w:r w:rsidRPr="00A76818">
              <w:rPr>
                <w:rFonts w:ascii="Calibri" w:hAnsi="Calibri" w:cs="Calibri"/>
                <w:color w:val="000000" w:themeColor="text1"/>
              </w:rPr>
              <w:t xml:space="preserve"> Funds must not be used for legal advice and representation purchased through retainer fee arrangements or contingency fee arrangements. </w:t>
            </w:r>
          </w:p>
          <w:p w14:paraId="41F869E4" w14:textId="77777777" w:rsidR="00B14BD4" w:rsidRPr="00A76818" w:rsidRDefault="00B14BD4">
            <w:pPr>
              <w:pStyle w:val="ListParagraph"/>
              <w:numPr>
                <w:ilvl w:val="0"/>
                <w:numId w:val="7"/>
              </w:numPr>
              <w:ind w:left="414"/>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u w:val="single"/>
              </w:rPr>
              <w:t>Eligible Subject Matters</w:t>
            </w:r>
            <w:r w:rsidRPr="00A76818">
              <w:rPr>
                <w:rFonts w:ascii="Calibri" w:hAnsi="Calibri" w:cs="Calibri"/>
                <w:color w:val="000000" w:themeColor="text1"/>
              </w:rPr>
              <w:t xml:space="preserve"> Landlord/tenant matters; child support; guardianship; paternity; emancipation; legal separation; orders of protection and other civil remedies for victims of domestic violence, dating violence, sexual assault, and stalking; appeal of veterans and public benefit claim denials; resolution of outstanding criminal warrants.</w:t>
            </w:r>
          </w:p>
          <w:p w14:paraId="72032DA3" w14:textId="77777777" w:rsidR="00B14BD4" w:rsidRPr="00A76818" w:rsidRDefault="00B14BD4">
            <w:pPr>
              <w:pStyle w:val="ListParagraph"/>
              <w:numPr>
                <w:ilvl w:val="0"/>
                <w:numId w:val="7"/>
              </w:numPr>
              <w:ind w:left="414"/>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u w:val="single"/>
              </w:rPr>
              <w:t>Ineligible Subject Matter</w:t>
            </w:r>
            <w:r w:rsidRPr="00A76818">
              <w:rPr>
                <w:rFonts w:ascii="Calibri" w:hAnsi="Calibri" w:cs="Calibri"/>
                <w:color w:val="000000" w:themeColor="text1"/>
              </w:rPr>
              <w:t xml:space="preserve"> Legal services related to immigration and citizenship matters or related to mortgages.</w:t>
            </w:r>
          </w:p>
          <w:p w14:paraId="7EFAAFEF" w14:textId="77777777" w:rsidR="00B14BD4" w:rsidRPr="00A76818" w:rsidRDefault="00B14BD4"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00B14BD4" w:rsidRPr="00A76818" w14:paraId="53FAAEAE" w14:textId="77777777" w:rsidTr="00271B9B">
        <w:trPr>
          <w:trHeight w:val="1043"/>
        </w:trPr>
        <w:tc>
          <w:tcPr>
            <w:cnfStyle w:val="001000000000" w:firstRow="0" w:lastRow="0" w:firstColumn="1" w:lastColumn="0" w:oddVBand="0" w:evenVBand="0" w:oddHBand="0" w:evenHBand="0" w:firstRowFirstColumn="0" w:firstRowLastColumn="0" w:lastRowFirstColumn="0" w:lastRowLastColumn="0"/>
            <w:tcW w:w="1075" w:type="dxa"/>
            <w:textDirection w:val="btLr"/>
          </w:tcPr>
          <w:p w14:paraId="138B1EA3" w14:textId="77777777" w:rsidR="00B14BD4" w:rsidRPr="00A76818" w:rsidRDefault="00B14BD4" w:rsidP="00585009">
            <w:pPr>
              <w:ind w:left="113" w:right="113"/>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t>Moving Costs</w:t>
            </w:r>
          </w:p>
        </w:tc>
        <w:tc>
          <w:tcPr>
            <w:tcW w:w="11790" w:type="dxa"/>
          </w:tcPr>
          <w:p w14:paraId="432094D6" w14:textId="49000E51" w:rsidR="00B14BD4" w:rsidRPr="00A76818" w:rsidRDefault="00B14BD4"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Costs such as truck rental or hiring a moving company, including payment of temporary storage fees for up to 3 months </w:t>
            </w:r>
          </w:p>
        </w:tc>
      </w:tr>
      <w:tr w:rsidR="00B14BD4" w:rsidRPr="00A76818" w14:paraId="3C79345E" w14:textId="77777777" w:rsidTr="00271B9B">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1075" w:type="dxa"/>
            <w:textDirection w:val="btLr"/>
          </w:tcPr>
          <w:p w14:paraId="530C3A5A" w14:textId="1A280088" w:rsidR="00B14BD4" w:rsidRPr="00A76818" w:rsidRDefault="00B14BD4" w:rsidP="00585009">
            <w:pPr>
              <w:ind w:left="113" w:right="113"/>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t>Utility Deposit</w:t>
            </w:r>
          </w:p>
          <w:p w14:paraId="1727732D" w14:textId="77777777" w:rsidR="00B14BD4" w:rsidRPr="00A76818" w:rsidRDefault="00B14BD4" w:rsidP="00585009">
            <w:pPr>
              <w:ind w:left="113" w:right="113"/>
              <w:contextualSpacing/>
              <w:jc w:val="center"/>
              <w:rPr>
                <w:rFonts w:ascii="Calibri" w:hAnsi="Calibri" w:cs="Calibri"/>
                <w:b w:val="0"/>
                <w:bCs w:val="0"/>
                <w:color w:val="000000" w:themeColor="text1"/>
              </w:rPr>
            </w:pPr>
          </w:p>
        </w:tc>
        <w:tc>
          <w:tcPr>
            <w:tcW w:w="11790" w:type="dxa"/>
          </w:tcPr>
          <w:p w14:paraId="7CDCCB11" w14:textId="77777777" w:rsidR="00B14BD4" w:rsidRPr="00A76818" w:rsidRDefault="00B14BD4"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Standard utility deposit that the utility company requires of all customers</w:t>
            </w:r>
          </w:p>
          <w:p w14:paraId="3D673C18" w14:textId="77777777" w:rsidR="00B14BD4" w:rsidRPr="00A76818" w:rsidRDefault="00B14BD4" w:rsidP="0058500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
        </w:tc>
      </w:tr>
      <w:tr w:rsidR="00B14BD4" w:rsidRPr="00A76818" w14:paraId="085C9299" w14:textId="77777777" w:rsidTr="00271B9B">
        <w:trPr>
          <w:trHeight w:val="1134"/>
        </w:trPr>
        <w:tc>
          <w:tcPr>
            <w:cnfStyle w:val="001000000000" w:firstRow="0" w:lastRow="0" w:firstColumn="1" w:lastColumn="0" w:oddVBand="0" w:evenVBand="0" w:oddHBand="0" w:evenHBand="0" w:firstRowFirstColumn="0" w:firstRowLastColumn="0" w:lastRowFirstColumn="0" w:lastRowLastColumn="0"/>
            <w:tcW w:w="1075" w:type="dxa"/>
            <w:textDirection w:val="btLr"/>
          </w:tcPr>
          <w:p w14:paraId="10DAD736" w14:textId="77777777" w:rsidR="00B14BD4" w:rsidRPr="00A76818" w:rsidRDefault="00B14BD4" w:rsidP="00585009">
            <w:pPr>
              <w:ind w:left="113" w:right="113"/>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t>Mediation</w:t>
            </w:r>
          </w:p>
          <w:p w14:paraId="367EFD06" w14:textId="77777777" w:rsidR="00B14BD4" w:rsidRPr="00A76818" w:rsidRDefault="00B14BD4" w:rsidP="00585009">
            <w:pPr>
              <w:ind w:left="113" w:right="113"/>
              <w:contextualSpacing/>
              <w:jc w:val="center"/>
              <w:rPr>
                <w:rFonts w:ascii="Calibri" w:hAnsi="Calibri" w:cs="Calibri"/>
                <w:b w:val="0"/>
                <w:bCs w:val="0"/>
                <w:color w:val="000000" w:themeColor="text1"/>
              </w:rPr>
            </w:pPr>
          </w:p>
        </w:tc>
        <w:tc>
          <w:tcPr>
            <w:tcW w:w="11790" w:type="dxa"/>
          </w:tcPr>
          <w:p w14:paraId="416A581E" w14:textId="77777777" w:rsidR="00B14BD4" w:rsidRPr="00A76818" w:rsidRDefault="00B14BD4"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Mediation between the household and the owner or person(s) with whom the household is living. </w:t>
            </w:r>
          </w:p>
          <w:p w14:paraId="700EB9B8" w14:textId="77777777" w:rsidR="00B14BD4" w:rsidRDefault="00B14BD4"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p w14:paraId="5F5ACAC3" w14:textId="77777777" w:rsidR="00271B9B" w:rsidRDefault="00271B9B"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p w14:paraId="53BF864C" w14:textId="77777777" w:rsidR="00271B9B" w:rsidRDefault="00271B9B"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p w14:paraId="27C33F35" w14:textId="3921762E" w:rsidR="00271B9B" w:rsidRPr="00A76818" w:rsidRDefault="00271B9B" w:rsidP="00585009">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r>
      <w:tr w:rsidR="00B14BD4" w:rsidRPr="00A76818" w14:paraId="45F6F162" w14:textId="77777777" w:rsidTr="00271B9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75" w:type="dxa"/>
            <w:textDirection w:val="btLr"/>
          </w:tcPr>
          <w:p w14:paraId="6270AFDA" w14:textId="77777777" w:rsidR="00B14BD4" w:rsidRPr="00A76818" w:rsidRDefault="00B14BD4" w:rsidP="00585009">
            <w:pPr>
              <w:ind w:left="113" w:right="113"/>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t>Credit</w:t>
            </w:r>
          </w:p>
          <w:p w14:paraId="181727D9" w14:textId="77777777" w:rsidR="00B14BD4" w:rsidRPr="00A76818" w:rsidRDefault="00B14BD4" w:rsidP="00585009">
            <w:pPr>
              <w:ind w:left="113" w:right="113"/>
              <w:contextualSpacing/>
              <w:jc w:val="center"/>
              <w:rPr>
                <w:rFonts w:ascii="Calibri" w:hAnsi="Calibri" w:cs="Calibri"/>
                <w:b w:val="0"/>
                <w:bCs w:val="0"/>
                <w:color w:val="000000" w:themeColor="text1"/>
              </w:rPr>
            </w:pPr>
            <w:r w:rsidRPr="00A76818">
              <w:rPr>
                <w:rFonts w:ascii="Calibri" w:hAnsi="Calibri" w:cs="Calibri"/>
                <w:b w:val="0"/>
                <w:bCs w:val="0"/>
                <w:color w:val="000000" w:themeColor="text1"/>
              </w:rPr>
              <w:t>Repair</w:t>
            </w:r>
          </w:p>
        </w:tc>
        <w:tc>
          <w:tcPr>
            <w:tcW w:w="11790" w:type="dxa"/>
          </w:tcPr>
          <w:p w14:paraId="6BCAF698" w14:textId="77777777" w:rsidR="00B14BD4" w:rsidRPr="00A76818" w:rsidRDefault="00B14BD4">
            <w:pPr>
              <w:pStyle w:val="ListParagraph"/>
              <w:numPr>
                <w:ilvl w:val="0"/>
                <w:numId w:val="8"/>
              </w:numPr>
              <w:ind w:left="414"/>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Credit counseling</w:t>
            </w:r>
          </w:p>
          <w:p w14:paraId="646311B7" w14:textId="77777777" w:rsidR="00B14BD4" w:rsidRPr="00A76818" w:rsidRDefault="00B14BD4">
            <w:pPr>
              <w:pStyle w:val="ListParagraph"/>
              <w:numPr>
                <w:ilvl w:val="0"/>
                <w:numId w:val="8"/>
              </w:numPr>
              <w:ind w:left="414"/>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Accessing a free personal credit report </w:t>
            </w:r>
          </w:p>
          <w:p w14:paraId="47AB73EB" w14:textId="77777777" w:rsidR="00B14BD4" w:rsidRPr="00A76818" w:rsidRDefault="00B14BD4">
            <w:pPr>
              <w:pStyle w:val="ListParagraph"/>
              <w:numPr>
                <w:ilvl w:val="0"/>
                <w:numId w:val="8"/>
              </w:numPr>
              <w:ind w:left="414"/>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Resolving personal credit problems</w:t>
            </w:r>
          </w:p>
          <w:p w14:paraId="178AE16E" w14:textId="77777777" w:rsidR="00B14BD4" w:rsidRPr="00A76818" w:rsidRDefault="00B14BD4">
            <w:pPr>
              <w:pStyle w:val="ListParagraph"/>
              <w:numPr>
                <w:ilvl w:val="0"/>
                <w:numId w:val="8"/>
              </w:numPr>
              <w:ind w:left="414"/>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lastRenderedPageBreak/>
              <w:t>Other services needed to assist with critical skills related to household budgeting and money management</w:t>
            </w:r>
          </w:p>
        </w:tc>
      </w:tr>
    </w:tbl>
    <w:p w14:paraId="102087ED" w14:textId="726B4FC7" w:rsidR="00894467" w:rsidRDefault="00894467" w:rsidP="00B11059">
      <w:pPr>
        <w:rPr>
          <w:rFonts w:ascii="Calibri" w:hAnsi="Calibri"/>
          <w:color w:val="000000" w:themeColor="text1"/>
          <w:sz w:val="20"/>
          <w:szCs w:val="21"/>
        </w:rPr>
      </w:pPr>
    </w:p>
    <w:p w14:paraId="19E07337" w14:textId="10B87ACD" w:rsidR="00E16BCE" w:rsidRDefault="00E16BCE" w:rsidP="00B11059">
      <w:pPr>
        <w:rPr>
          <w:rFonts w:ascii="Calibri" w:hAnsi="Calibri"/>
          <w:color w:val="000000" w:themeColor="text1"/>
          <w:sz w:val="20"/>
          <w:szCs w:val="21"/>
        </w:rPr>
      </w:pPr>
    </w:p>
    <w:p w14:paraId="54B8ED59" w14:textId="77777777" w:rsidR="00E16BCE" w:rsidRPr="0061434B" w:rsidRDefault="00E16BCE">
      <w:pPr>
        <w:pStyle w:val="Heading2"/>
        <w:numPr>
          <w:ilvl w:val="0"/>
          <w:numId w:val="70"/>
        </w:numPr>
        <w:spacing w:before="0" w:line="240" w:lineRule="auto"/>
        <w:ind w:left="720"/>
        <w:contextualSpacing/>
        <w:rPr>
          <w:color w:val="0070C0"/>
        </w:rPr>
      </w:pPr>
      <w:bookmarkStart w:id="156" w:name="_Toc124255063"/>
      <w:r w:rsidRPr="0061434B">
        <w:rPr>
          <w:color w:val="0070C0"/>
        </w:rPr>
        <w:t>Duration of Assistance</w:t>
      </w:r>
      <w:bookmarkEnd w:id="156"/>
      <w:r w:rsidRPr="0061434B">
        <w:rPr>
          <w:color w:val="0070C0"/>
        </w:rPr>
        <w:t xml:space="preserve"> </w:t>
      </w:r>
    </w:p>
    <w:p w14:paraId="02E8D5D6" w14:textId="77777777" w:rsidR="00E16BCE" w:rsidRPr="00E16BCE" w:rsidRDefault="00E16BCE">
      <w:pPr>
        <w:pStyle w:val="ListParagraph"/>
        <w:numPr>
          <w:ilvl w:val="0"/>
          <w:numId w:val="71"/>
        </w:numPr>
        <w:rPr>
          <w:rFonts w:ascii="Calibri" w:hAnsi="Calibri"/>
          <w:color w:val="000000" w:themeColor="text1"/>
        </w:rPr>
      </w:pPr>
      <w:r w:rsidRPr="00E16BCE">
        <w:rPr>
          <w:rFonts w:ascii="Calibri" w:hAnsi="Calibri" w:cs="Calibri"/>
          <w:color w:val="000000" w:themeColor="text1"/>
          <w:u w:val="single"/>
        </w:rPr>
        <w:t>Initial Assistance</w:t>
      </w:r>
      <w:r w:rsidRPr="00E16BCE">
        <w:rPr>
          <w:rFonts w:ascii="Calibri" w:hAnsi="Calibri" w:cs="Calibri"/>
          <w:color w:val="000000" w:themeColor="text1"/>
        </w:rPr>
        <w:t xml:space="preserve"> Initially, ESG-HP assistance is limited to 3 months with mandatory quarterly review for all households seeking additional financial help. </w:t>
      </w:r>
    </w:p>
    <w:p w14:paraId="594031E6" w14:textId="77777777" w:rsidR="00E16BCE" w:rsidRPr="00E16BCE" w:rsidRDefault="00E16BCE">
      <w:pPr>
        <w:pStyle w:val="ListParagraph"/>
        <w:numPr>
          <w:ilvl w:val="2"/>
          <w:numId w:val="71"/>
        </w:numPr>
        <w:rPr>
          <w:rFonts w:ascii="Calibri" w:hAnsi="Calibri"/>
          <w:color w:val="000000" w:themeColor="text1"/>
        </w:rPr>
      </w:pPr>
      <w:r w:rsidRPr="00E16BCE">
        <w:rPr>
          <w:rFonts w:ascii="Calibri" w:hAnsi="Calibri" w:cs="Calibri"/>
          <w:color w:val="000000" w:themeColor="text1"/>
        </w:rPr>
        <w:t>Quarterly reviews may include income re-verification, home visit, discussion with landlord, financial goal setting, review of goals in Housing Stability Plan, referral to community resources and one-on-one housing counseling.</w:t>
      </w:r>
      <w:r w:rsidRPr="00E16BCE">
        <w:rPr>
          <w:rFonts w:ascii="Calibri" w:hAnsi="Calibri" w:cs="Calibri"/>
          <w:color w:val="000000" w:themeColor="text1"/>
          <w:u w:val="single"/>
        </w:rPr>
        <w:t xml:space="preserve"> </w:t>
      </w:r>
    </w:p>
    <w:p w14:paraId="2EDBC7B9" w14:textId="77777777" w:rsidR="00E16BCE" w:rsidRPr="00E16BCE" w:rsidRDefault="00E16BCE">
      <w:pPr>
        <w:pStyle w:val="ListParagraph"/>
        <w:numPr>
          <w:ilvl w:val="0"/>
          <w:numId w:val="71"/>
        </w:numPr>
        <w:rPr>
          <w:rFonts w:ascii="Calibri" w:hAnsi="Calibri"/>
          <w:color w:val="000000" w:themeColor="text1"/>
        </w:rPr>
      </w:pPr>
      <w:r w:rsidRPr="00E16BCE">
        <w:rPr>
          <w:rFonts w:ascii="Calibri" w:hAnsi="Calibri" w:cs="Calibri"/>
          <w:color w:val="000000" w:themeColor="text1"/>
          <w:u w:val="single"/>
        </w:rPr>
        <w:t>Extended Assistance</w:t>
      </w:r>
      <w:r w:rsidRPr="00E16BCE">
        <w:rPr>
          <w:rFonts w:ascii="Calibri" w:hAnsi="Calibri" w:cs="Calibri"/>
          <w:color w:val="000000" w:themeColor="text1"/>
        </w:rPr>
        <w:t xml:space="preserve"> Continued or increased financial assistance from ESG-HP may be recommended by rental assistance staff when circumstances show a continuing or increasing need and program households demonstrate steps taken toward goals in the individualized Housing Stability Plan. All recommendations for extended assistance will be reviewed by managerial or administrative staff. </w:t>
      </w:r>
    </w:p>
    <w:p w14:paraId="1A9C3685" w14:textId="77777777" w:rsidR="00E16BCE" w:rsidRPr="00E16BCE" w:rsidRDefault="00E16BCE">
      <w:pPr>
        <w:pStyle w:val="ListParagraph"/>
        <w:numPr>
          <w:ilvl w:val="2"/>
          <w:numId w:val="71"/>
        </w:numPr>
        <w:rPr>
          <w:rFonts w:ascii="Calibri" w:hAnsi="Calibri"/>
          <w:color w:val="000000" w:themeColor="text1"/>
        </w:rPr>
      </w:pPr>
      <w:r w:rsidRPr="00E16BCE">
        <w:rPr>
          <w:rFonts w:ascii="Calibri" w:hAnsi="Calibri" w:cs="Calibri"/>
          <w:color w:val="000000" w:themeColor="text1"/>
        </w:rPr>
        <w:t xml:space="preserve">Under no circumstances may more than 18 months of assistance be provided during any 3-year period. </w:t>
      </w:r>
    </w:p>
    <w:p w14:paraId="55765502" w14:textId="03F9A0D8" w:rsidR="00E16BCE" w:rsidRPr="00E16BCE" w:rsidRDefault="00E16BCE">
      <w:pPr>
        <w:pStyle w:val="ListParagraph"/>
        <w:numPr>
          <w:ilvl w:val="0"/>
          <w:numId w:val="71"/>
        </w:numPr>
        <w:rPr>
          <w:rFonts w:ascii="Calibri" w:hAnsi="Calibri"/>
          <w:color w:val="000000" w:themeColor="text1"/>
        </w:rPr>
      </w:pPr>
      <w:r w:rsidRPr="00E16BCE">
        <w:rPr>
          <w:rFonts w:ascii="Calibri" w:hAnsi="Calibri" w:cs="Calibri"/>
          <w:color w:val="000000" w:themeColor="text1"/>
        </w:rPr>
        <w:t>For more information about program exits, please see “Standards for Termination of Assistance and Grievance Procedure” (pg. 13-14).</w:t>
      </w:r>
    </w:p>
    <w:p w14:paraId="104BD302" w14:textId="3C55B16C" w:rsidR="00E16BCE" w:rsidRDefault="00E16BCE" w:rsidP="00B11059">
      <w:pPr>
        <w:rPr>
          <w:rFonts w:ascii="Calibri" w:hAnsi="Calibri"/>
          <w:color w:val="000000" w:themeColor="text1"/>
          <w:sz w:val="20"/>
          <w:szCs w:val="21"/>
        </w:rPr>
      </w:pPr>
    </w:p>
    <w:p w14:paraId="3610068C" w14:textId="77777777" w:rsidR="0066318B" w:rsidRDefault="0066318B" w:rsidP="0066318B">
      <w:pPr>
        <w:rPr>
          <w:rFonts w:ascii="Calibri" w:hAnsi="Calibri"/>
          <w:color w:val="000000" w:themeColor="text1"/>
          <w:sz w:val="20"/>
          <w:szCs w:val="21"/>
        </w:rPr>
      </w:pPr>
    </w:p>
    <w:p w14:paraId="1FD80134" w14:textId="02B55150" w:rsidR="0066318B" w:rsidRPr="0061434B" w:rsidRDefault="000D57AE">
      <w:pPr>
        <w:pStyle w:val="Heading2"/>
        <w:numPr>
          <w:ilvl w:val="0"/>
          <w:numId w:val="70"/>
        </w:numPr>
        <w:spacing w:before="0" w:line="240" w:lineRule="auto"/>
        <w:ind w:left="720"/>
        <w:contextualSpacing/>
        <w:rPr>
          <w:color w:val="0070C0"/>
        </w:rPr>
      </w:pPr>
      <w:bookmarkStart w:id="157" w:name="_Toc124255064"/>
      <w:r w:rsidRPr="0061434B">
        <w:rPr>
          <w:color w:val="0070C0"/>
        </w:rPr>
        <w:t>ESG-CV Standards for Homeless Prevention</w:t>
      </w:r>
      <w:bookmarkEnd w:id="157"/>
      <w:r w:rsidR="0066318B" w:rsidRPr="0061434B">
        <w:rPr>
          <w:color w:val="0070C0"/>
        </w:rPr>
        <w:t xml:space="preserve"> </w:t>
      </w:r>
    </w:p>
    <w:p w14:paraId="1AABCEC5" w14:textId="69FB6CC7" w:rsidR="000D57AE" w:rsidRPr="000D57AE" w:rsidRDefault="000D57AE">
      <w:pPr>
        <w:pStyle w:val="ListParagraph"/>
        <w:numPr>
          <w:ilvl w:val="0"/>
          <w:numId w:val="86"/>
        </w:numPr>
        <w:rPr>
          <w:rFonts w:ascii="Calibri" w:hAnsi="Calibri"/>
          <w:color w:val="000000" w:themeColor="text1"/>
        </w:rPr>
      </w:pPr>
      <w:r>
        <w:rPr>
          <w:rFonts w:ascii="Calibri" w:hAnsi="Calibri"/>
          <w:color w:val="000000" w:themeColor="text1"/>
        </w:rPr>
        <w:t>Additional eligible activities:</w:t>
      </w:r>
    </w:p>
    <w:p w14:paraId="1A5AD50D" w14:textId="09F1C1FD" w:rsidR="000D57AE" w:rsidRPr="000D57AE" w:rsidRDefault="000D57AE">
      <w:pPr>
        <w:pStyle w:val="ListParagraph"/>
        <w:numPr>
          <w:ilvl w:val="2"/>
          <w:numId w:val="86"/>
        </w:numPr>
        <w:rPr>
          <w:rFonts w:ascii="Calibri" w:hAnsi="Calibri"/>
          <w:color w:val="000000" w:themeColor="text1"/>
        </w:rPr>
      </w:pPr>
      <w:r w:rsidRPr="009D0894">
        <w:rPr>
          <w:rFonts w:ascii="Calibri" w:hAnsi="Calibri" w:cs="Calibri"/>
          <w:u w:val="single"/>
        </w:rPr>
        <w:t>Infectious Disease Prevention Training</w:t>
      </w:r>
      <w:r w:rsidRPr="000D57AE">
        <w:rPr>
          <w:rFonts w:ascii="Calibri" w:hAnsi="Calibri" w:cs="Calibri"/>
        </w:rPr>
        <w:t>: ESG-CV funds may be used for training on infectious disease prevention and mitigation for staff working directly to prevent, prepare for, and respond to coronavirus among persons who are homeless or at risk of homelessness. Infectious Disease Prevention Training costs are to be tracked separately.</w:t>
      </w:r>
    </w:p>
    <w:p w14:paraId="3CB2E149" w14:textId="2ED8573F" w:rsidR="0066318B" w:rsidRPr="000D57AE" w:rsidRDefault="000D57AE">
      <w:pPr>
        <w:pStyle w:val="ListParagraph"/>
        <w:numPr>
          <w:ilvl w:val="2"/>
          <w:numId w:val="86"/>
        </w:numPr>
        <w:rPr>
          <w:rFonts w:ascii="Calibri" w:hAnsi="Calibri"/>
          <w:color w:val="000000" w:themeColor="text1"/>
        </w:rPr>
      </w:pPr>
      <w:r w:rsidRPr="009D0894">
        <w:rPr>
          <w:rFonts w:ascii="Calibri" w:hAnsi="Calibri" w:cs="Calibri"/>
          <w:u w:val="single"/>
        </w:rPr>
        <w:t>Hazard Pay</w:t>
      </w:r>
      <w:r w:rsidRPr="000D57AE">
        <w:rPr>
          <w:rFonts w:ascii="Calibri" w:hAnsi="Calibri" w:cs="Calibri"/>
        </w:rPr>
        <w:t>: ESG-CV funds may be used to provide hazard pay for staff working directly to prevent, prepare for, and respond to coronavirus among persons who are homeless or at risk of homelessness. Examples of staff working directly in support of coronavirus response include staff providing essential services (e.g., outpatient health, outpatient mental health, and housing navigators), staff working in proximity to persons with coronavirus, or staff working in locations with a high likelihood of contracting coronavirus.</w:t>
      </w:r>
    </w:p>
    <w:p w14:paraId="3C97C668" w14:textId="0B4DCAAE" w:rsidR="000D57AE" w:rsidRPr="000D57AE" w:rsidRDefault="000D57AE">
      <w:pPr>
        <w:pStyle w:val="ListParagraph"/>
        <w:numPr>
          <w:ilvl w:val="2"/>
          <w:numId w:val="86"/>
        </w:numPr>
        <w:rPr>
          <w:rFonts w:ascii="Calibri" w:hAnsi="Calibri"/>
          <w:color w:val="000000" w:themeColor="text1"/>
        </w:rPr>
      </w:pPr>
      <w:r w:rsidRPr="009D0894">
        <w:rPr>
          <w:rFonts w:ascii="Calibri" w:hAnsi="Calibri" w:cs="Calibri"/>
          <w:u w:val="single"/>
        </w:rPr>
        <w:lastRenderedPageBreak/>
        <w:t>Landlord Incentives</w:t>
      </w:r>
      <w:r w:rsidRPr="000D57AE">
        <w:rPr>
          <w:rFonts w:ascii="Calibri" w:hAnsi="Calibri" w:cs="Calibri"/>
        </w:rPr>
        <w:t>: ESG-CV funds may be used to pay landlord incentives, as is reasonable and necessary, to obtain housing for individuals and families experiencing homelessness and at risk of homelessness. ESG-CV funds may not be used to pay landlord incentives in an amount that exceeds three times the rent charged for the unit.</w:t>
      </w:r>
    </w:p>
    <w:p w14:paraId="35798C9B" w14:textId="3ABAD226" w:rsidR="0066318B" w:rsidRPr="000D57AE" w:rsidRDefault="000D57AE">
      <w:pPr>
        <w:pStyle w:val="ListParagraph"/>
        <w:numPr>
          <w:ilvl w:val="3"/>
          <w:numId w:val="86"/>
        </w:numPr>
        <w:rPr>
          <w:rFonts w:ascii="Calibri" w:hAnsi="Calibri"/>
          <w:color w:val="000000" w:themeColor="text1"/>
        </w:rPr>
      </w:pPr>
      <w:r w:rsidRPr="000D57AE">
        <w:rPr>
          <w:rFonts w:ascii="Calibri" w:hAnsi="Calibri" w:cs="Calibri"/>
        </w:rPr>
        <w:t xml:space="preserve">Eligible landlord incentive costs include: </w:t>
      </w:r>
    </w:p>
    <w:p w14:paraId="2C1CD6C5" w14:textId="0DF08F88" w:rsidR="000D57AE" w:rsidRPr="000D57AE" w:rsidRDefault="000D57AE">
      <w:pPr>
        <w:pStyle w:val="ListParagraph"/>
        <w:numPr>
          <w:ilvl w:val="4"/>
          <w:numId w:val="86"/>
        </w:numPr>
        <w:rPr>
          <w:rFonts w:ascii="Calibri" w:hAnsi="Calibri"/>
          <w:color w:val="000000" w:themeColor="text1"/>
        </w:rPr>
      </w:pPr>
      <w:r w:rsidRPr="000D57AE">
        <w:rPr>
          <w:rFonts w:ascii="Calibri" w:hAnsi="Calibri" w:cs="Calibri"/>
        </w:rPr>
        <w:t>Signing bonuses equal to up to 2 months of rent.</w:t>
      </w:r>
    </w:p>
    <w:p w14:paraId="60BF08A1" w14:textId="193AB399" w:rsidR="000D57AE" w:rsidRPr="000D57AE" w:rsidRDefault="000D57AE">
      <w:pPr>
        <w:pStyle w:val="ListParagraph"/>
        <w:numPr>
          <w:ilvl w:val="4"/>
          <w:numId w:val="86"/>
        </w:numPr>
        <w:rPr>
          <w:rFonts w:ascii="Calibri" w:hAnsi="Calibri"/>
          <w:color w:val="000000" w:themeColor="text1"/>
        </w:rPr>
      </w:pPr>
      <w:r w:rsidRPr="000D57AE">
        <w:rPr>
          <w:rFonts w:ascii="Calibri" w:hAnsi="Calibri" w:cs="Calibri"/>
        </w:rPr>
        <w:t>Security deposits equal to up to 3 months of rent.</w:t>
      </w:r>
    </w:p>
    <w:p w14:paraId="7C08C07B" w14:textId="3C174F39" w:rsidR="000D57AE" w:rsidRPr="000D57AE" w:rsidRDefault="000D57AE">
      <w:pPr>
        <w:pStyle w:val="ListParagraph"/>
        <w:numPr>
          <w:ilvl w:val="4"/>
          <w:numId w:val="86"/>
        </w:numPr>
        <w:rPr>
          <w:rFonts w:ascii="Calibri" w:hAnsi="Calibri"/>
          <w:color w:val="000000" w:themeColor="text1"/>
        </w:rPr>
      </w:pPr>
      <w:r w:rsidRPr="000D57AE">
        <w:rPr>
          <w:rFonts w:ascii="Calibri" w:hAnsi="Calibri" w:cs="Calibri"/>
        </w:rPr>
        <w:t>Paying the cost to repair damages incurred by the program participant not covered by the security deposit or that are incurred while the program participant is still residing in the unit.</w:t>
      </w:r>
    </w:p>
    <w:p w14:paraId="65471572" w14:textId="67D324E1" w:rsidR="000D57AE" w:rsidRPr="000D57AE" w:rsidRDefault="000D57AE">
      <w:pPr>
        <w:pStyle w:val="ListParagraph"/>
        <w:numPr>
          <w:ilvl w:val="4"/>
          <w:numId w:val="86"/>
        </w:numPr>
        <w:rPr>
          <w:rFonts w:ascii="Calibri" w:hAnsi="Calibri"/>
          <w:color w:val="000000" w:themeColor="text1"/>
        </w:rPr>
      </w:pPr>
      <w:r w:rsidRPr="000D57AE">
        <w:rPr>
          <w:rFonts w:ascii="Calibri" w:hAnsi="Calibri" w:cs="Calibri"/>
        </w:rPr>
        <w:t>Paying the costs of extra cleaning or maintenance of a program participant’s unit or appliances</w:t>
      </w:r>
    </w:p>
    <w:p w14:paraId="2A3AC426" w14:textId="121B0F5E" w:rsidR="000D57AE" w:rsidRPr="000D57AE" w:rsidRDefault="000D57AE">
      <w:pPr>
        <w:pStyle w:val="ListParagraph"/>
        <w:numPr>
          <w:ilvl w:val="4"/>
          <w:numId w:val="86"/>
        </w:numPr>
        <w:rPr>
          <w:rFonts w:ascii="Calibri" w:hAnsi="Calibri"/>
          <w:color w:val="000000" w:themeColor="text1"/>
        </w:rPr>
      </w:pPr>
      <w:r w:rsidRPr="000D57AE">
        <w:rPr>
          <w:rFonts w:ascii="Calibri" w:hAnsi="Calibri" w:cs="Calibri"/>
        </w:rPr>
        <w:t>Paying the costs of extra cleaning or maintenance of a program participant’s unit or appliances, this includes hotel/motels under Temporary ES.</w:t>
      </w:r>
    </w:p>
    <w:p w14:paraId="332937AE" w14:textId="65A8DE72" w:rsidR="000D57AE" w:rsidRPr="000D57AE" w:rsidRDefault="000D57AE">
      <w:pPr>
        <w:pStyle w:val="ListParagraph"/>
        <w:numPr>
          <w:ilvl w:val="2"/>
          <w:numId w:val="86"/>
        </w:numPr>
        <w:rPr>
          <w:rFonts w:ascii="Calibri" w:hAnsi="Calibri"/>
          <w:color w:val="000000" w:themeColor="text1"/>
        </w:rPr>
      </w:pPr>
      <w:r w:rsidRPr="009D0894">
        <w:rPr>
          <w:rFonts w:ascii="Calibri" w:hAnsi="Calibri" w:cs="Calibri"/>
          <w:u w:val="single"/>
        </w:rPr>
        <w:t>Volunteer Incentives</w:t>
      </w:r>
      <w:r w:rsidRPr="000D57AE">
        <w:rPr>
          <w:rFonts w:ascii="Calibri" w:hAnsi="Calibri" w:cs="Calibri"/>
        </w:rPr>
        <w:t>: ESG-CV funds may be used to pay for the</w:t>
      </w:r>
      <w:r w:rsidRPr="000800C5">
        <w:rPr>
          <w:rFonts w:ascii="Calibri" w:hAnsi="Calibri" w:cs="Calibri"/>
        </w:rPr>
        <w:t xml:space="preserve"> cost of providing reasonable incentives to volunteers (e.g., cash or gift cards), who are helping to provide necessary essential services or housing relocation and stabilization services during the coronavirus outbreak. The provision to allow the payment for reasonable volunteer incentive costs will increase the number of people available to provide the needed services and connections to housing for individuals and families experiencing homelessness to prevent the spread of coronavirus. In addition, this provision acknowledges that the normal volunteer pool available to grantees may not be available.</w:t>
      </w:r>
    </w:p>
    <w:p w14:paraId="1D267302" w14:textId="77777777" w:rsidR="000D57AE" w:rsidRDefault="000D57AE">
      <w:pPr>
        <w:pStyle w:val="ListParagraph"/>
        <w:numPr>
          <w:ilvl w:val="0"/>
          <w:numId w:val="86"/>
        </w:numPr>
        <w:rPr>
          <w:rFonts w:ascii="Calibri" w:hAnsi="Calibri"/>
          <w:color w:val="000000" w:themeColor="text1"/>
        </w:rPr>
      </w:pPr>
      <w:r>
        <w:rPr>
          <w:rFonts w:ascii="Calibri" w:hAnsi="Calibri"/>
          <w:color w:val="000000" w:themeColor="text1"/>
        </w:rPr>
        <w:t>Participant Eligibility</w:t>
      </w:r>
    </w:p>
    <w:p w14:paraId="66B6CC43" w14:textId="77777777" w:rsidR="000D57AE" w:rsidRPr="000D57AE" w:rsidRDefault="000D57AE">
      <w:pPr>
        <w:pStyle w:val="ListParagraph"/>
        <w:numPr>
          <w:ilvl w:val="2"/>
          <w:numId w:val="86"/>
        </w:numPr>
        <w:rPr>
          <w:rFonts w:ascii="Calibri" w:hAnsi="Calibri"/>
          <w:color w:val="000000" w:themeColor="text1"/>
        </w:rPr>
      </w:pPr>
      <w:r w:rsidRPr="008D653A">
        <w:rPr>
          <w:rFonts w:ascii="Calibri" w:hAnsi="Calibri" w:cs="Calibri"/>
        </w:rPr>
        <w:t>People who qualify as “at risk of homelessness”, based on categories (2 or 4) of the “homeless” definition or the “at risk of homelessness” definition found at 24 CFR 576.2, and have annual Below 50% of the Area Median Income (AMI), are eligible for the following services, in compliance with federal ESG rules (24 CFR 576.103, 576.105, 576.106):</w:t>
      </w:r>
      <w:r w:rsidRPr="000D57AE">
        <w:rPr>
          <w:rFonts w:ascii="Calibri" w:hAnsi="Calibri" w:cs="Calibri"/>
          <w:b/>
          <w:bCs/>
        </w:rPr>
        <w:t xml:space="preserve"> </w:t>
      </w:r>
    </w:p>
    <w:p w14:paraId="75C7D60F" w14:textId="77777777" w:rsidR="000D57AE" w:rsidRPr="000D57AE" w:rsidRDefault="000D57AE">
      <w:pPr>
        <w:pStyle w:val="ListParagraph"/>
        <w:numPr>
          <w:ilvl w:val="3"/>
          <w:numId w:val="86"/>
        </w:numPr>
        <w:rPr>
          <w:rFonts w:ascii="Calibri" w:hAnsi="Calibri"/>
          <w:color w:val="000000" w:themeColor="text1"/>
        </w:rPr>
      </w:pPr>
      <w:r w:rsidRPr="000D57AE">
        <w:rPr>
          <w:rFonts w:ascii="Calibri" w:hAnsi="Calibri" w:cs="Calibri"/>
        </w:rPr>
        <w:t xml:space="preserve">Housing Relocation and Stabilization Services: housing search/placement, housing stability case management, mediation and legal services, credit repair/budgeting/money management </w:t>
      </w:r>
    </w:p>
    <w:p w14:paraId="1A6AB014" w14:textId="0E6BE60D" w:rsidR="000D57AE" w:rsidRPr="000D57AE" w:rsidRDefault="000D57AE">
      <w:pPr>
        <w:pStyle w:val="ListParagraph"/>
        <w:numPr>
          <w:ilvl w:val="3"/>
          <w:numId w:val="86"/>
        </w:numPr>
        <w:rPr>
          <w:rFonts w:ascii="Calibri" w:hAnsi="Calibri"/>
          <w:color w:val="000000" w:themeColor="text1"/>
        </w:rPr>
      </w:pPr>
      <w:r w:rsidRPr="000D57AE">
        <w:rPr>
          <w:rFonts w:ascii="Calibri" w:hAnsi="Calibri" w:cs="Calibri"/>
        </w:rPr>
        <w:t>Rental Assistance: Short-term (up to 3 months) and medium-term (4-24 months) rental assistance.</w:t>
      </w:r>
    </w:p>
    <w:p w14:paraId="5C654A13" w14:textId="0546B4C3" w:rsidR="000D57AE" w:rsidRPr="00303879" w:rsidRDefault="000D57AE">
      <w:pPr>
        <w:pStyle w:val="ListParagraph"/>
        <w:numPr>
          <w:ilvl w:val="0"/>
          <w:numId w:val="86"/>
        </w:numPr>
        <w:rPr>
          <w:rFonts w:ascii="Calibri" w:hAnsi="Calibri"/>
          <w:color w:val="000000" w:themeColor="text1"/>
          <w:highlight w:val="green"/>
        </w:rPr>
      </w:pPr>
      <w:r w:rsidRPr="00303879">
        <w:rPr>
          <w:rFonts w:ascii="Calibri" w:hAnsi="Calibri" w:cs="Calibri"/>
          <w:highlight w:val="green"/>
        </w:rPr>
        <w:t>Participant Contribution</w:t>
      </w:r>
    </w:p>
    <w:p w14:paraId="04914D2C" w14:textId="39D5793C" w:rsidR="000D57AE" w:rsidRPr="00303879" w:rsidRDefault="000D57AE">
      <w:pPr>
        <w:pStyle w:val="ListParagraph"/>
        <w:numPr>
          <w:ilvl w:val="2"/>
          <w:numId w:val="86"/>
        </w:numPr>
        <w:rPr>
          <w:rFonts w:ascii="Calibri" w:hAnsi="Calibri"/>
          <w:color w:val="000000" w:themeColor="text1"/>
          <w:highlight w:val="green"/>
        </w:rPr>
      </w:pPr>
      <w:r w:rsidRPr="00303879">
        <w:rPr>
          <w:rFonts w:ascii="Calibri" w:hAnsi="Calibri" w:cs="Calibri"/>
          <w:highlight w:val="green"/>
        </w:rPr>
        <w:t>Minimum standards for determining what percentage or amount of rent and utilities costs each program participant shall pay while receiving homelessness prevention assistance are:</w:t>
      </w:r>
    </w:p>
    <w:p w14:paraId="4D98D720" w14:textId="07A94844" w:rsidR="000D57AE" w:rsidRPr="00303879" w:rsidRDefault="000D57AE">
      <w:pPr>
        <w:pStyle w:val="ListParagraph"/>
        <w:numPr>
          <w:ilvl w:val="3"/>
          <w:numId w:val="86"/>
        </w:numPr>
        <w:rPr>
          <w:rFonts w:ascii="Calibri" w:hAnsi="Calibri"/>
          <w:color w:val="000000" w:themeColor="text1"/>
          <w:highlight w:val="green"/>
        </w:rPr>
      </w:pPr>
      <w:r w:rsidRPr="00303879">
        <w:rPr>
          <w:rFonts w:ascii="Calibri" w:hAnsi="Calibri" w:cs="Calibri"/>
          <w:color w:val="201F1E"/>
          <w:highlight w:val="green"/>
          <w:shd w:val="clear" w:color="auto" w:fill="FFFFFF"/>
        </w:rPr>
        <w:t>Progressive engagement, rental calculation worksheets used at intake, and reassessments.</w:t>
      </w:r>
    </w:p>
    <w:p w14:paraId="0445FF5F" w14:textId="4A81538B" w:rsidR="000D57AE" w:rsidRPr="00303879" w:rsidRDefault="000D57AE">
      <w:pPr>
        <w:pStyle w:val="ListParagraph"/>
        <w:numPr>
          <w:ilvl w:val="3"/>
          <w:numId w:val="86"/>
        </w:numPr>
        <w:rPr>
          <w:rFonts w:ascii="Calibri" w:hAnsi="Calibri"/>
          <w:color w:val="000000" w:themeColor="text1"/>
          <w:highlight w:val="green"/>
        </w:rPr>
      </w:pPr>
      <w:r w:rsidRPr="00303879">
        <w:rPr>
          <w:rFonts w:ascii="Calibri" w:hAnsi="Calibri" w:cs="Calibri"/>
          <w:color w:val="201F1E"/>
          <w:highlight w:val="green"/>
          <w:shd w:val="clear" w:color="auto" w:fill="FFFFFF"/>
        </w:rPr>
        <w:lastRenderedPageBreak/>
        <w:t>Case Management includes recertification follow up and housing stability plans. Clients are referred to MLJT and other income support networks including VA and disability benefits. All clients offered financial literacy courses.</w:t>
      </w:r>
    </w:p>
    <w:p w14:paraId="06DDB7E7" w14:textId="4FE8CD8F" w:rsidR="000D57AE" w:rsidRPr="00303879" w:rsidRDefault="000D57AE">
      <w:pPr>
        <w:pStyle w:val="ListParagraph"/>
        <w:numPr>
          <w:ilvl w:val="3"/>
          <w:numId w:val="86"/>
        </w:numPr>
        <w:rPr>
          <w:rFonts w:ascii="Calibri" w:hAnsi="Calibri"/>
          <w:color w:val="000000" w:themeColor="text1"/>
          <w:highlight w:val="green"/>
        </w:rPr>
      </w:pPr>
      <w:r w:rsidRPr="00303879">
        <w:rPr>
          <w:rFonts w:ascii="Calibri" w:hAnsi="Calibri" w:cs="Calibri"/>
          <w:highlight w:val="green"/>
        </w:rPr>
        <w:t xml:space="preserve">Participants are not required to contribute rent. Providers funded under ESG-CV may pay up to 100 percent of the reasonable rent and utility costs for program participants. Providers may, at their discretion, </w:t>
      </w:r>
      <w:r w:rsidRPr="00303879">
        <w:rPr>
          <w:rFonts w:ascii="Calibri" w:hAnsi="Calibri" w:cs="Calibri"/>
          <w:highlight w:val="yellow"/>
        </w:rPr>
        <w:t>choose to impose rental charges on participants</w:t>
      </w:r>
      <w:r w:rsidR="00303879" w:rsidRPr="00303879">
        <w:rPr>
          <w:rFonts w:ascii="Calibri" w:hAnsi="Calibri" w:cs="Calibri"/>
          <w:highlight w:val="yellow"/>
        </w:rPr>
        <w:t xml:space="preserve"> not to exceed 30% of participant income</w:t>
      </w:r>
      <w:r w:rsidRPr="00303879">
        <w:rPr>
          <w:rFonts w:ascii="Calibri" w:hAnsi="Calibri" w:cs="Calibri"/>
          <w:highlight w:val="yellow"/>
        </w:rPr>
        <w:t xml:space="preserve">. </w:t>
      </w:r>
    </w:p>
    <w:p w14:paraId="5E6EDB8D" w14:textId="02E4CB33" w:rsidR="000D57AE" w:rsidRPr="00303879" w:rsidRDefault="000D57AE">
      <w:pPr>
        <w:pStyle w:val="ListParagraph"/>
        <w:numPr>
          <w:ilvl w:val="3"/>
          <w:numId w:val="86"/>
        </w:numPr>
        <w:rPr>
          <w:rFonts w:ascii="Calibri" w:hAnsi="Calibri"/>
          <w:color w:val="000000" w:themeColor="text1"/>
          <w:highlight w:val="green"/>
        </w:rPr>
      </w:pPr>
      <w:r w:rsidRPr="00303879">
        <w:rPr>
          <w:rFonts w:ascii="Calibri" w:hAnsi="Calibri" w:cs="Calibri"/>
          <w:highlight w:val="green"/>
        </w:rPr>
        <w:t>Any additional requirements regarding the percentage or amount of rent and utility provider’s policies and be clearly communicated to program participants.</w:t>
      </w:r>
    </w:p>
    <w:p w14:paraId="6FE30E39" w14:textId="658E6386" w:rsidR="000D57AE" w:rsidRPr="000D57AE" w:rsidRDefault="000D57AE">
      <w:pPr>
        <w:pStyle w:val="ListParagraph"/>
        <w:numPr>
          <w:ilvl w:val="0"/>
          <w:numId w:val="86"/>
        </w:numPr>
        <w:rPr>
          <w:rFonts w:ascii="Calibri" w:hAnsi="Calibri"/>
          <w:color w:val="000000" w:themeColor="text1"/>
        </w:rPr>
      </w:pPr>
      <w:r>
        <w:rPr>
          <w:rFonts w:ascii="Calibri" w:hAnsi="Calibri" w:cs="Calibri"/>
        </w:rPr>
        <w:t>Financial Assistance</w:t>
      </w:r>
    </w:p>
    <w:p w14:paraId="228CE5E5" w14:textId="343ED213" w:rsidR="000D57AE" w:rsidRPr="000D57AE" w:rsidRDefault="000D57AE">
      <w:pPr>
        <w:pStyle w:val="ListParagraph"/>
        <w:numPr>
          <w:ilvl w:val="2"/>
          <w:numId w:val="86"/>
        </w:numPr>
        <w:rPr>
          <w:rFonts w:ascii="Calibri" w:hAnsi="Calibri"/>
          <w:color w:val="000000" w:themeColor="text1"/>
        </w:rPr>
      </w:pPr>
      <w:r w:rsidRPr="000800C5">
        <w:rPr>
          <w:rFonts w:ascii="Calibri" w:hAnsi="Calibri" w:cs="Calibri"/>
        </w:rPr>
        <w:t>Use with other subsidies: Payment for Financial Assistance costs shall not be provided to a participant who is receiving the same type of financial assistance through other public sources, except for a one-time payment of rental arrears. on the tenant's portion of the rental payment or deposit for subsidized housing.</w:t>
      </w:r>
    </w:p>
    <w:p w14:paraId="690DE42A" w14:textId="10E742BA" w:rsidR="000D57AE" w:rsidRPr="000D57AE" w:rsidRDefault="000D57AE">
      <w:pPr>
        <w:pStyle w:val="ListParagraph"/>
        <w:numPr>
          <w:ilvl w:val="2"/>
          <w:numId w:val="86"/>
        </w:numPr>
        <w:rPr>
          <w:rFonts w:ascii="Calibri" w:hAnsi="Calibri"/>
          <w:color w:val="000000" w:themeColor="text1"/>
        </w:rPr>
      </w:pPr>
      <w:r w:rsidRPr="000800C5">
        <w:rPr>
          <w:rFonts w:ascii="Calibri" w:hAnsi="Calibri" w:cs="Calibri"/>
        </w:rPr>
        <w:t>Rental application fees</w:t>
      </w:r>
      <w:r>
        <w:rPr>
          <w:rFonts w:ascii="Calibri" w:hAnsi="Calibri" w:cs="Calibri"/>
        </w:rPr>
        <w:t>.</w:t>
      </w:r>
    </w:p>
    <w:p w14:paraId="12F7924B" w14:textId="0C022D9C" w:rsidR="000D57AE" w:rsidRPr="000D57AE" w:rsidRDefault="000D57AE">
      <w:pPr>
        <w:pStyle w:val="ListParagraph"/>
        <w:numPr>
          <w:ilvl w:val="2"/>
          <w:numId w:val="86"/>
        </w:numPr>
        <w:rPr>
          <w:rFonts w:ascii="Calibri" w:hAnsi="Calibri"/>
          <w:color w:val="000000" w:themeColor="text1"/>
        </w:rPr>
      </w:pPr>
      <w:r w:rsidRPr="000800C5">
        <w:rPr>
          <w:rFonts w:ascii="Calibri" w:hAnsi="Calibri" w:cs="Calibri"/>
        </w:rPr>
        <w:t xml:space="preserve">Files include DOB </w:t>
      </w:r>
      <w:proofErr w:type="gramStart"/>
      <w:r w:rsidRPr="000800C5">
        <w:rPr>
          <w:rFonts w:ascii="Calibri" w:hAnsi="Calibri" w:cs="Calibri"/>
        </w:rPr>
        <w:t>forms,</w:t>
      </w:r>
      <w:proofErr w:type="gramEnd"/>
      <w:r w:rsidRPr="000800C5">
        <w:rPr>
          <w:rFonts w:ascii="Calibri" w:hAnsi="Calibri" w:cs="Calibri"/>
        </w:rPr>
        <w:t xml:space="preserve"> these include self-certification of other rental assistance programs</w:t>
      </w:r>
      <w:r>
        <w:rPr>
          <w:rFonts w:ascii="Calibri" w:hAnsi="Calibri" w:cs="Calibri"/>
        </w:rPr>
        <w:t>.</w:t>
      </w:r>
    </w:p>
    <w:p w14:paraId="4A9C71F1" w14:textId="3AF83534" w:rsidR="000D57AE" w:rsidRPr="000D57AE" w:rsidRDefault="000D57AE">
      <w:pPr>
        <w:pStyle w:val="ListParagraph"/>
        <w:numPr>
          <w:ilvl w:val="2"/>
          <w:numId w:val="86"/>
        </w:numPr>
        <w:rPr>
          <w:rFonts w:ascii="Calibri" w:hAnsi="Calibri"/>
          <w:color w:val="000000" w:themeColor="text1"/>
        </w:rPr>
      </w:pPr>
      <w:r w:rsidRPr="000800C5">
        <w:rPr>
          <w:rFonts w:ascii="Calibri" w:hAnsi="Calibri" w:cs="Calibri"/>
        </w:rPr>
        <w:t>Last month’s rent: Payment shall not exceed 1 month’s rent and shall be included in calculating the participant’s total rental assistance.</w:t>
      </w:r>
    </w:p>
    <w:p w14:paraId="5F1DEA13" w14:textId="5485AEB4" w:rsidR="000D57AE" w:rsidRPr="000D57AE" w:rsidRDefault="000D57AE">
      <w:pPr>
        <w:pStyle w:val="ListParagraph"/>
        <w:numPr>
          <w:ilvl w:val="2"/>
          <w:numId w:val="86"/>
        </w:numPr>
        <w:rPr>
          <w:rFonts w:ascii="Calibri" w:hAnsi="Calibri"/>
          <w:color w:val="000000" w:themeColor="text1"/>
        </w:rPr>
      </w:pPr>
      <w:r w:rsidRPr="000800C5">
        <w:rPr>
          <w:rFonts w:ascii="Calibri" w:hAnsi="Calibri" w:cs="Calibri"/>
        </w:rPr>
        <w:t>Utility deposits: Payment shall only be made for gas, electric, water and sewage deposits.</w:t>
      </w:r>
    </w:p>
    <w:p w14:paraId="278C2195" w14:textId="40153735" w:rsidR="000D57AE" w:rsidRPr="000D57AE" w:rsidRDefault="000D57AE">
      <w:pPr>
        <w:pStyle w:val="ListParagraph"/>
        <w:numPr>
          <w:ilvl w:val="2"/>
          <w:numId w:val="86"/>
        </w:numPr>
        <w:rPr>
          <w:rFonts w:ascii="Calibri" w:hAnsi="Calibri"/>
          <w:color w:val="000000" w:themeColor="text1"/>
        </w:rPr>
      </w:pPr>
      <w:r w:rsidRPr="000800C5">
        <w:rPr>
          <w:rFonts w:ascii="Calibri" w:hAnsi="Calibri" w:cs="Calibri"/>
        </w:rPr>
        <w:t>Utility payments</w:t>
      </w:r>
    </w:p>
    <w:p w14:paraId="08F3D203" w14:textId="49AED653"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A partial payment counts as 1 month.</w:t>
      </w:r>
    </w:p>
    <w:p w14:paraId="536111CE" w14:textId="36B1C2BE"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Payment shall only be made if the utility account is in the name of the participant or a member of the same household.</w:t>
      </w:r>
    </w:p>
    <w:p w14:paraId="5C88D028" w14:textId="0EDC3108"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Payment shall only be made for gas, electric, water and sewage costs.</w:t>
      </w:r>
    </w:p>
    <w:p w14:paraId="3051C7B0" w14:textId="7F1E9409"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Participants shall not receive more than 24 months of utility assistance within any 3-year period.</w:t>
      </w:r>
    </w:p>
    <w:p w14:paraId="53221873" w14:textId="76AC4173"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Payments may include up to 6 months of utility payments in arrears, per service.</w:t>
      </w:r>
    </w:p>
    <w:p w14:paraId="4957CFC3" w14:textId="76D59835" w:rsidR="000D57AE" w:rsidRPr="000D57AE" w:rsidRDefault="000D57AE">
      <w:pPr>
        <w:pStyle w:val="ListParagraph"/>
        <w:numPr>
          <w:ilvl w:val="2"/>
          <w:numId w:val="86"/>
        </w:numPr>
        <w:rPr>
          <w:rFonts w:ascii="Calibri" w:hAnsi="Calibri"/>
          <w:color w:val="000000" w:themeColor="text1"/>
        </w:rPr>
      </w:pPr>
      <w:r w:rsidRPr="000800C5">
        <w:rPr>
          <w:rFonts w:ascii="Calibri" w:hAnsi="Calibri" w:cs="Calibri"/>
        </w:rPr>
        <w:t>Moving costs: Reasonable one-time moving expenses are eligible.</w:t>
      </w:r>
    </w:p>
    <w:p w14:paraId="7B3D22EF" w14:textId="219538CC" w:rsidR="000D57AE" w:rsidRPr="000D57AE" w:rsidRDefault="000D57AE">
      <w:pPr>
        <w:pStyle w:val="ListParagraph"/>
        <w:numPr>
          <w:ilvl w:val="0"/>
          <w:numId w:val="86"/>
        </w:numPr>
        <w:rPr>
          <w:rFonts w:ascii="Calibri" w:hAnsi="Calibri"/>
          <w:color w:val="000000" w:themeColor="text1"/>
        </w:rPr>
      </w:pPr>
      <w:r>
        <w:rPr>
          <w:rFonts w:ascii="Calibri" w:hAnsi="Calibri" w:cs="Calibri"/>
        </w:rPr>
        <w:t>Housing Relocation and Stabilization Services</w:t>
      </w:r>
    </w:p>
    <w:p w14:paraId="30E5B86B" w14:textId="77777777" w:rsidR="000D57AE" w:rsidRPr="000D57AE" w:rsidRDefault="000D57AE">
      <w:pPr>
        <w:pStyle w:val="ListParagraph"/>
        <w:numPr>
          <w:ilvl w:val="2"/>
          <w:numId w:val="86"/>
        </w:numPr>
        <w:rPr>
          <w:rFonts w:ascii="Calibri" w:hAnsi="Calibri"/>
          <w:color w:val="000000" w:themeColor="text1"/>
        </w:rPr>
      </w:pPr>
      <w:r w:rsidRPr="000800C5">
        <w:rPr>
          <w:rFonts w:ascii="Calibri" w:hAnsi="Calibri" w:cs="Calibri"/>
        </w:rPr>
        <w:t xml:space="preserve">Payment for housing relocation and stabilization services will not exceed 24 months in any 36 month period (24 CFR 576.105(c)), except for program participants who reach their 24 month maximum during the period beginning on January 21, </w:t>
      </w:r>
      <w:proofErr w:type="gramStart"/>
      <w:r w:rsidRPr="000800C5">
        <w:rPr>
          <w:rFonts w:ascii="Calibri" w:hAnsi="Calibri" w:cs="Calibri"/>
        </w:rPr>
        <w:t>2020</w:t>
      </w:r>
      <w:proofErr w:type="gramEnd"/>
      <w:r w:rsidRPr="000800C5">
        <w:rPr>
          <w:rFonts w:ascii="Calibri" w:hAnsi="Calibri" w:cs="Calibri"/>
        </w:rPr>
        <w:t xml:space="preserve"> and ending February 28, 2021.</w:t>
      </w:r>
      <w:r w:rsidRPr="000D57AE">
        <w:rPr>
          <w:rFonts w:ascii="Calibri" w:hAnsi="Calibri" w:cs="Calibri"/>
        </w:rPr>
        <w:t xml:space="preserve"> </w:t>
      </w:r>
    </w:p>
    <w:p w14:paraId="78533DED" w14:textId="77777777" w:rsidR="000D57AE" w:rsidRPr="000D57AE" w:rsidRDefault="000D57AE">
      <w:pPr>
        <w:pStyle w:val="ListParagraph"/>
        <w:numPr>
          <w:ilvl w:val="2"/>
          <w:numId w:val="86"/>
        </w:numPr>
        <w:rPr>
          <w:rFonts w:ascii="Calibri" w:hAnsi="Calibri"/>
          <w:color w:val="000000" w:themeColor="text1"/>
        </w:rPr>
      </w:pPr>
      <w:r w:rsidRPr="000800C5">
        <w:rPr>
          <w:rFonts w:ascii="Calibri" w:hAnsi="Calibri" w:cs="Calibri"/>
        </w:rPr>
        <w:t>Housing relocation and stabilization services shall only be extended for a maximum of an additional 6 months. (Notice: CPD-20-08)</w:t>
      </w:r>
      <w:r w:rsidRPr="000D57AE">
        <w:rPr>
          <w:rFonts w:ascii="Calibri" w:hAnsi="Calibri" w:cs="Calibri"/>
          <w:u w:val="single"/>
        </w:rPr>
        <w:t xml:space="preserve"> </w:t>
      </w:r>
    </w:p>
    <w:p w14:paraId="74B0B110" w14:textId="2C7BA06A" w:rsidR="000D57AE" w:rsidRPr="000D57AE" w:rsidRDefault="000D57AE">
      <w:pPr>
        <w:pStyle w:val="ListParagraph"/>
        <w:numPr>
          <w:ilvl w:val="2"/>
          <w:numId w:val="86"/>
        </w:numPr>
        <w:rPr>
          <w:rFonts w:ascii="Calibri" w:hAnsi="Calibri"/>
          <w:color w:val="000000" w:themeColor="text1"/>
        </w:rPr>
      </w:pPr>
      <w:r w:rsidRPr="002F4A38">
        <w:rPr>
          <w:rFonts w:ascii="Calibri" w:hAnsi="Calibri" w:cs="Calibri"/>
          <w:u w:val="single"/>
        </w:rPr>
        <w:lastRenderedPageBreak/>
        <w:t>Housing search and placement services</w:t>
      </w:r>
      <w:r w:rsidRPr="000800C5">
        <w:rPr>
          <w:rFonts w:ascii="Calibri" w:hAnsi="Calibri" w:cs="Calibri"/>
        </w:rPr>
        <w:t>: Payment shall only be made for assisting participants to locate, obtain and retain suitable permanent housing through the provision of the following services:</w:t>
      </w:r>
    </w:p>
    <w:p w14:paraId="1DC5CAF7" w14:textId="482A290D"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Assessment of housing barriers, needs and preferences</w:t>
      </w:r>
      <w:r>
        <w:rPr>
          <w:rFonts w:ascii="Calibri" w:hAnsi="Calibri" w:cs="Calibri"/>
        </w:rPr>
        <w:t>;</w:t>
      </w:r>
    </w:p>
    <w:p w14:paraId="544FD1D9" w14:textId="44173317"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Development of an action plan for locating housing</w:t>
      </w:r>
      <w:r>
        <w:rPr>
          <w:rFonts w:ascii="Calibri" w:hAnsi="Calibri" w:cs="Calibri"/>
        </w:rPr>
        <w:t>;</w:t>
      </w:r>
    </w:p>
    <w:p w14:paraId="490FE1CE" w14:textId="65FC4931"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Housing search</w:t>
      </w:r>
      <w:r>
        <w:rPr>
          <w:rFonts w:ascii="Calibri" w:hAnsi="Calibri" w:cs="Calibri"/>
        </w:rPr>
        <w:t>;</w:t>
      </w:r>
    </w:p>
    <w:p w14:paraId="1A90D417" w14:textId="321F1512"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Outreach to and negotiation with owners</w:t>
      </w:r>
      <w:r>
        <w:rPr>
          <w:rFonts w:ascii="Calibri" w:hAnsi="Calibri" w:cs="Calibri"/>
        </w:rPr>
        <w:t>;</w:t>
      </w:r>
    </w:p>
    <w:p w14:paraId="6D782CDA" w14:textId="5BA0D7B2"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Assistance with submitting rental applications and understanding leases</w:t>
      </w:r>
      <w:r>
        <w:rPr>
          <w:rFonts w:ascii="Calibri" w:hAnsi="Calibri" w:cs="Calibri"/>
        </w:rPr>
        <w:t>;</w:t>
      </w:r>
    </w:p>
    <w:p w14:paraId="447FB49C" w14:textId="16AD30CB"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Assessment of housing for compliance with ESG housing standards, lead-based paint and rent reasonableness</w:t>
      </w:r>
      <w:r>
        <w:rPr>
          <w:rFonts w:ascii="Calibri" w:hAnsi="Calibri" w:cs="Calibri"/>
        </w:rPr>
        <w:t xml:space="preserve">; or </w:t>
      </w:r>
    </w:p>
    <w:p w14:paraId="62172D0C" w14:textId="0D3595AB"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Assistance with obtaining utilities and making moving arrangements</w:t>
      </w:r>
      <w:r>
        <w:rPr>
          <w:rFonts w:ascii="Calibri" w:hAnsi="Calibri" w:cs="Calibri"/>
        </w:rPr>
        <w:t>.</w:t>
      </w:r>
    </w:p>
    <w:p w14:paraId="5BBB8441" w14:textId="479E447B" w:rsidR="000D57AE" w:rsidRPr="000D57AE" w:rsidRDefault="000D57AE">
      <w:pPr>
        <w:pStyle w:val="ListParagraph"/>
        <w:numPr>
          <w:ilvl w:val="2"/>
          <w:numId w:val="86"/>
        </w:numPr>
        <w:rPr>
          <w:rFonts w:ascii="Calibri" w:hAnsi="Calibri"/>
          <w:color w:val="000000" w:themeColor="text1"/>
        </w:rPr>
      </w:pPr>
      <w:r w:rsidRPr="002F4A38">
        <w:rPr>
          <w:rFonts w:ascii="Calibri" w:hAnsi="Calibri" w:cs="Calibri"/>
          <w:u w:val="single"/>
        </w:rPr>
        <w:t>Housing stability case management</w:t>
      </w:r>
      <w:r w:rsidRPr="000800C5">
        <w:rPr>
          <w:rFonts w:ascii="Calibri" w:hAnsi="Calibri" w:cs="Calibri"/>
        </w:rPr>
        <w:t>: Payment for housing stability case management services provided while the participant is seeking permanent housing shall not exceed 30 days.  Payment shall only be made for assessing, arranging, coordinating, and monitoring the delivery of individualized services to facilitate housing stability for a participant who resides in permanent housing or to assist a participant in overcoming immediate barriers to obtaining housing through the provision of the following services:</w:t>
      </w:r>
    </w:p>
    <w:p w14:paraId="1DB60810" w14:textId="6029E97D"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Using the CSCoC Coordinated Entry System</w:t>
      </w:r>
      <w:r>
        <w:rPr>
          <w:rFonts w:ascii="Calibri" w:hAnsi="Calibri" w:cs="Calibri"/>
        </w:rPr>
        <w:t>;</w:t>
      </w:r>
    </w:p>
    <w:p w14:paraId="42EF487C" w14:textId="4D3A9CE9"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Conducting the initial evaluation, including verifying and documenting participant eligibility</w:t>
      </w:r>
      <w:r>
        <w:rPr>
          <w:rFonts w:ascii="Calibri" w:hAnsi="Calibri" w:cs="Calibri"/>
        </w:rPr>
        <w:t>;</w:t>
      </w:r>
    </w:p>
    <w:p w14:paraId="5CA28277" w14:textId="4C5B0B13"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Counseling</w:t>
      </w:r>
      <w:r>
        <w:rPr>
          <w:rFonts w:ascii="Calibri" w:hAnsi="Calibri" w:cs="Calibri"/>
        </w:rPr>
        <w:t>;</w:t>
      </w:r>
    </w:p>
    <w:p w14:paraId="5BC4BD47" w14:textId="64140661"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Developing, securing, and coordinating services and obtaining Federal, State and local benefits</w:t>
      </w:r>
      <w:r>
        <w:rPr>
          <w:rFonts w:ascii="Calibri" w:hAnsi="Calibri" w:cs="Calibri"/>
        </w:rPr>
        <w:t>;</w:t>
      </w:r>
    </w:p>
    <w:p w14:paraId="6F45A47B" w14:textId="56BB9241"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Monitoring and evaluating participant progress</w:t>
      </w:r>
      <w:r>
        <w:rPr>
          <w:rFonts w:ascii="Calibri" w:hAnsi="Calibri" w:cs="Calibri"/>
        </w:rPr>
        <w:t>;</w:t>
      </w:r>
    </w:p>
    <w:p w14:paraId="74E69DA1" w14:textId="1F365945"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Providing information and referral to other providers</w:t>
      </w:r>
      <w:r>
        <w:rPr>
          <w:rFonts w:ascii="Calibri" w:hAnsi="Calibri" w:cs="Calibri"/>
        </w:rPr>
        <w:t>;</w:t>
      </w:r>
    </w:p>
    <w:p w14:paraId="030B7EA4" w14:textId="300D0A6C"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Developing an individualized housing and service plan</w:t>
      </w:r>
      <w:r>
        <w:rPr>
          <w:rFonts w:ascii="Calibri" w:hAnsi="Calibri" w:cs="Calibri"/>
        </w:rPr>
        <w:t>; or</w:t>
      </w:r>
    </w:p>
    <w:p w14:paraId="4E07A6B4" w14:textId="155440C8"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Conducting re-evaluations</w:t>
      </w:r>
      <w:r>
        <w:rPr>
          <w:rFonts w:ascii="Calibri" w:hAnsi="Calibri" w:cs="Calibri"/>
        </w:rPr>
        <w:t>.</w:t>
      </w:r>
    </w:p>
    <w:p w14:paraId="5C460681" w14:textId="00312CC9" w:rsidR="000D57AE" w:rsidRPr="000D57AE" w:rsidRDefault="000D57AE">
      <w:pPr>
        <w:pStyle w:val="ListParagraph"/>
        <w:numPr>
          <w:ilvl w:val="2"/>
          <w:numId w:val="86"/>
        </w:numPr>
        <w:rPr>
          <w:rFonts w:ascii="Calibri" w:hAnsi="Calibri"/>
          <w:color w:val="000000" w:themeColor="text1"/>
        </w:rPr>
      </w:pPr>
      <w:r w:rsidRPr="002F4A38">
        <w:rPr>
          <w:rFonts w:ascii="Calibri" w:hAnsi="Calibri" w:cs="Calibri"/>
          <w:u w:val="single"/>
        </w:rPr>
        <w:t>Mediation</w:t>
      </w:r>
      <w:r w:rsidRPr="000800C5">
        <w:rPr>
          <w:rFonts w:ascii="Calibri" w:hAnsi="Calibri" w:cs="Calibri"/>
        </w:rPr>
        <w:t>: Payment shall only be made for the cost of mediation between the participant and the owner or person with whom the participant is living, if it is necessary to prevent the participant from losing the permanent housing where he or she resides.</w:t>
      </w:r>
    </w:p>
    <w:p w14:paraId="798FD1DD" w14:textId="059708A5" w:rsidR="000D57AE" w:rsidRPr="000D57AE" w:rsidRDefault="000D57AE">
      <w:pPr>
        <w:pStyle w:val="ListParagraph"/>
        <w:numPr>
          <w:ilvl w:val="2"/>
          <w:numId w:val="86"/>
        </w:numPr>
        <w:rPr>
          <w:rFonts w:ascii="Calibri" w:hAnsi="Calibri"/>
          <w:color w:val="000000" w:themeColor="text1"/>
        </w:rPr>
      </w:pPr>
      <w:r w:rsidRPr="002F4A38">
        <w:rPr>
          <w:rFonts w:ascii="Calibri" w:hAnsi="Calibri" w:cs="Calibri"/>
          <w:u w:val="single"/>
        </w:rPr>
        <w:t>Legal Services</w:t>
      </w:r>
      <w:r w:rsidRPr="000800C5">
        <w:rPr>
          <w:rFonts w:ascii="Calibri" w:hAnsi="Calibri" w:cs="Calibri"/>
        </w:rPr>
        <w:t>: Payment arrangements may NOT include retainer or contingency fee agreements. Eligible subject matters for legal services include child support, guardianship, paternity, emancipation, legal separation, orders of protection for victims of domestic violence, appeal of benefit claim denials, landlord tenant disputes and resolution of outstanding criminal warrants.</w:t>
      </w:r>
    </w:p>
    <w:p w14:paraId="0E7CD421" w14:textId="77777777" w:rsidR="000D57AE" w:rsidRPr="000D57AE" w:rsidRDefault="000D57AE">
      <w:pPr>
        <w:pStyle w:val="ListParagraph"/>
        <w:numPr>
          <w:ilvl w:val="2"/>
          <w:numId w:val="86"/>
        </w:numPr>
        <w:rPr>
          <w:rFonts w:ascii="Calibri" w:hAnsi="Calibri"/>
          <w:color w:val="000000" w:themeColor="text1"/>
        </w:rPr>
      </w:pPr>
      <w:r w:rsidRPr="002F4A38">
        <w:rPr>
          <w:rFonts w:ascii="Calibri" w:hAnsi="Calibri" w:cs="Calibri"/>
          <w:u w:val="single"/>
        </w:rPr>
        <w:t>Credit repair</w:t>
      </w:r>
      <w:r w:rsidRPr="000800C5">
        <w:rPr>
          <w:rFonts w:ascii="Calibri" w:hAnsi="Calibri" w:cs="Calibri"/>
        </w:rPr>
        <w:t>: Payment shall only be made for the cost of assisting the participant in obtaining skills related to household budgeting, managing money, accessing a free personal credit report and resolving personal credit problems. Payment will not be made for a debt or modification of a debt.</w:t>
      </w:r>
      <w:r w:rsidRPr="000D57AE">
        <w:rPr>
          <w:rFonts w:ascii="Calibri" w:hAnsi="Calibri" w:cs="Calibri"/>
        </w:rPr>
        <w:t xml:space="preserve"> </w:t>
      </w:r>
    </w:p>
    <w:p w14:paraId="0E334E3A" w14:textId="65E2B573" w:rsidR="000D57AE" w:rsidRPr="000D57AE" w:rsidRDefault="000D57AE">
      <w:pPr>
        <w:pStyle w:val="ListParagraph"/>
        <w:numPr>
          <w:ilvl w:val="2"/>
          <w:numId w:val="86"/>
        </w:numPr>
        <w:rPr>
          <w:rFonts w:ascii="Calibri" w:hAnsi="Calibri"/>
          <w:color w:val="000000" w:themeColor="text1"/>
        </w:rPr>
      </w:pPr>
      <w:r w:rsidRPr="000800C5">
        <w:rPr>
          <w:rFonts w:ascii="Calibri" w:hAnsi="Calibri" w:cs="Calibri"/>
        </w:rPr>
        <w:lastRenderedPageBreak/>
        <w:t>Any additional requirements regarding the type, amount, and duration of housing stabilization and/or relocation services that will be provided to individual service provider’s policies and clearly communicated to program participants.</w:t>
      </w:r>
    </w:p>
    <w:p w14:paraId="4557F736" w14:textId="0D1CF8FA" w:rsidR="000D57AE" w:rsidRPr="000D57AE" w:rsidRDefault="000D57AE">
      <w:pPr>
        <w:pStyle w:val="ListParagraph"/>
        <w:numPr>
          <w:ilvl w:val="0"/>
          <w:numId w:val="86"/>
        </w:numPr>
        <w:rPr>
          <w:rFonts w:ascii="Calibri" w:hAnsi="Calibri"/>
          <w:color w:val="000000" w:themeColor="text1"/>
        </w:rPr>
      </w:pPr>
      <w:r>
        <w:rPr>
          <w:rFonts w:ascii="Calibri" w:hAnsi="Calibri" w:cs="Calibri"/>
        </w:rPr>
        <w:t>Rental Assistance</w:t>
      </w:r>
    </w:p>
    <w:p w14:paraId="2B8837CF" w14:textId="61D0E391" w:rsidR="000D57AE" w:rsidRPr="000D57AE" w:rsidRDefault="000D57AE">
      <w:pPr>
        <w:pStyle w:val="ListParagraph"/>
        <w:numPr>
          <w:ilvl w:val="2"/>
          <w:numId w:val="86"/>
        </w:numPr>
        <w:rPr>
          <w:rFonts w:ascii="Calibri" w:hAnsi="Calibri"/>
          <w:color w:val="000000" w:themeColor="text1"/>
        </w:rPr>
      </w:pPr>
      <w:r w:rsidRPr="000800C5">
        <w:rPr>
          <w:rFonts w:ascii="Calibri" w:hAnsi="Calibri" w:cs="Calibri"/>
        </w:rPr>
        <w:t>Payment for short-term rental assistance shall not exceed 3 months.</w:t>
      </w:r>
    </w:p>
    <w:p w14:paraId="25B70CCA" w14:textId="68B5B220" w:rsidR="000D57AE" w:rsidRPr="000D57AE" w:rsidRDefault="000D57AE">
      <w:pPr>
        <w:pStyle w:val="ListParagraph"/>
        <w:numPr>
          <w:ilvl w:val="2"/>
          <w:numId w:val="86"/>
        </w:numPr>
        <w:rPr>
          <w:rFonts w:ascii="Calibri" w:hAnsi="Calibri"/>
          <w:color w:val="000000" w:themeColor="text1"/>
        </w:rPr>
      </w:pPr>
      <w:r w:rsidRPr="000800C5">
        <w:rPr>
          <w:rFonts w:ascii="Calibri" w:hAnsi="Calibri" w:cs="Calibri"/>
        </w:rPr>
        <w:t>Payment for medium-term rental assistance shall be for more than 3 months but shall not exceed 24 months.</w:t>
      </w:r>
    </w:p>
    <w:p w14:paraId="1D7F64E5" w14:textId="4EC8B6DD" w:rsidR="000D57AE" w:rsidRPr="000D57AE" w:rsidRDefault="000D57AE">
      <w:pPr>
        <w:pStyle w:val="ListParagraph"/>
        <w:numPr>
          <w:ilvl w:val="2"/>
          <w:numId w:val="86"/>
        </w:numPr>
        <w:rPr>
          <w:rFonts w:ascii="Calibri" w:hAnsi="Calibri"/>
          <w:color w:val="000000" w:themeColor="text1"/>
        </w:rPr>
      </w:pPr>
      <w:r w:rsidRPr="000800C5">
        <w:rPr>
          <w:rFonts w:ascii="Calibri" w:hAnsi="Calibri" w:cs="Calibri"/>
        </w:rPr>
        <w:t xml:space="preserve">Rental assistance shall not exceed 24 months in any 36-month period (24 CFR 576.105(c)), except for program participants who reach their 24-month maximum during the period beginning on January 21, </w:t>
      </w:r>
      <w:proofErr w:type="gramStart"/>
      <w:r w:rsidRPr="000800C5">
        <w:rPr>
          <w:rFonts w:ascii="Calibri" w:hAnsi="Calibri" w:cs="Calibri"/>
        </w:rPr>
        <w:t>2020</w:t>
      </w:r>
      <w:proofErr w:type="gramEnd"/>
      <w:r w:rsidRPr="000800C5">
        <w:rPr>
          <w:rFonts w:ascii="Calibri" w:hAnsi="Calibri" w:cs="Calibri"/>
        </w:rPr>
        <w:t xml:space="preserve"> and ending February 28, 2021. Rental assistance shall only be extended for a maximum of an additional 6 months. (Notice: CPD-20-08)</w:t>
      </w:r>
    </w:p>
    <w:p w14:paraId="051C0E09" w14:textId="151BB630" w:rsidR="000D57AE" w:rsidRPr="000D57AE" w:rsidRDefault="000D57AE">
      <w:pPr>
        <w:pStyle w:val="ListParagraph"/>
        <w:numPr>
          <w:ilvl w:val="2"/>
          <w:numId w:val="86"/>
        </w:numPr>
        <w:rPr>
          <w:rFonts w:ascii="Calibri" w:hAnsi="Calibri"/>
          <w:color w:val="000000" w:themeColor="text1"/>
        </w:rPr>
      </w:pPr>
      <w:r w:rsidRPr="000800C5">
        <w:rPr>
          <w:rFonts w:ascii="Calibri" w:hAnsi="Calibri" w:cs="Calibri"/>
        </w:rPr>
        <w:t>Minimum standards for determining the duration of rental assistance:</w:t>
      </w:r>
    </w:p>
    <w:p w14:paraId="6328FEB7" w14:textId="41E1E03B"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Payment for rent arrears shall not exceed 6 months and shall be a one-time payment</w:t>
      </w:r>
    </w:p>
    <w:p w14:paraId="11641F5D" w14:textId="636508F5"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Except for a one-time payment of rental arrears on the participant’s portion, rent amount must meet the HUD standard for rent reasonableness (24 CFR) 982.507).  Per CPD-20-08 Notice, fair market rent requirements are waived for ESG-CV funds.</w:t>
      </w:r>
    </w:p>
    <w:p w14:paraId="36158761" w14:textId="7EE0E07B" w:rsidR="000D57AE" w:rsidRPr="000D57AE" w:rsidRDefault="000D57AE">
      <w:pPr>
        <w:pStyle w:val="ListParagraph"/>
        <w:numPr>
          <w:ilvl w:val="2"/>
          <w:numId w:val="86"/>
        </w:numPr>
        <w:rPr>
          <w:rFonts w:ascii="Calibri" w:hAnsi="Calibri"/>
          <w:color w:val="000000" w:themeColor="text1"/>
        </w:rPr>
      </w:pPr>
      <w:r w:rsidRPr="000800C5">
        <w:rPr>
          <w:rFonts w:ascii="Calibri" w:hAnsi="Calibri" w:cs="Calibri"/>
        </w:rPr>
        <w:t>There must be a rental agreement between the landlord and agency and a written lease between tenant and landlord. (NOT ALLOWABLE: mortgage and mortgage arrearage payments).</w:t>
      </w:r>
    </w:p>
    <w:p w14:paraId="1410CFF0" w14:textId="6C044881" w:rsidR="000D57AE" w:rsidRPr="000D57AE" w:rsidRDefault="000D57AE">
      <w:pPr>
        <w:pStyle w:val="ListParagraph"/>
        <w:numPr>
          <w:ilvl w:val="2"/>
          <w:numId w:val="86"/>
        </w:numPr>
        <w:rPr>
          <w:rFonts w:ascii="Calibri" w:hAnsi="Calibri"/>
          <w:color w:val="000000" w:themeColor="text1"/>
        </w:rPr>
      </w:pPr>
      <w:r w:rsidRPr="000800C5">
        <w:rPr>
          <w:rFonts w:ascii="Calibri" w:hAnsi="Calibri" w:cs="Calibri"/>
        </w:rPr>
        <w:t>Calculation of the rental payment amount shall only include monthly rent for the unit, any occupancy fees under the lease (except for pet and late fees) and if the participant pays separately for utilities, the monthly utility allowance established by the public housing authority for the area in which the housing is located.</w:t>
      </w:r>
    </w:p>
    <w:p w14:paraId="7B5E7A37" w14:textId="01B55A6B" w:rsidR="000D57AE" w:rsidRPr="000D57AE" w:rsidRDefault="000D57AE">
      <w:pPr>
        <w:pStyle w:val="ListParagraph"/>
        <w:numPr>
          <w:ilvl w:val="2"/>
          <w:numId w:val="86"/>
        </w:numPr>
        <w:rPr>
          <w:rFonts w:ascii="Calibri" w:hAnsi="Calibri"/>
          <w:color w:val="000000" w:themeColor="text1"/>
        </w:rPr>
      </w:pPr>
      <w:r w:rsidRPr="000800C5">
        <w:rPr>
          <w:rFonts w:ascii="Calibri" w:hAnsi="Calibri" w:cs="Calibri"/>
        </w:rPr>
        <w:t>Payment shall only be made when there is a rental assistance agreement between the agency and the owner. The agreement will include the terms under which rental assistance will be provided, including:</w:t>
      </w:r>
    </w:p>
    <w:p w14:paraId="255A6F66" w14:textId="1C83A9F5"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A requirement that the owner provide the sub recipient with a copy of any notice to vacate given to the participant or any complaint used to commence an eviction action;</w:t>
      </w:r>
    </w:p>
    <w:p w14:paraId="021BD6AD" w14:textId="434AEEB7"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Protections for Victims of Domestic Violence, Dating Violence, Sexual Assault, or stalking that apply to tenants.</w:t>
      </w:r>
    </w:p>
    <w:p w14:paraId="2CB4AF5C" w14:textId="4DE704EF" w:rsidR="000D57AE" w:rsidRPr="000D57AE" w:rsidRDefault="000D57AE">
      <w:pPr>
        <w:pStyle w:val="ListParagraph"/>
        <w:numPr>
          <w:ilvl w:val="2"/>
          <w:numId w:val="86"/>
        </w:numPr>
        <w:rPr>
          <w:rFonts w:ascii="Calibri" w:hAnsi="Calibri"/>
          <w:color w:val="000000" w:themeColor="text1"/>
        </w:rPr>
      </w:pPr>
      <w:r w:rsidRPr="000800C5">
        <w:rPr>
          <w:rFonts w:ascii="Calibri" w:hAnsi="Calibri" w:cs="Calibri"/>
        </w:rPr>
        <w:t>Payment shall only be made when there is a legally binding written lease for the rental unit between the participant and the owner, except for payment of rental arrears.</w:t>
      </w:r>
    </w:p>
    <w:p w14:paraId="32B5118D" w14:textId="72A570D3" w:rsidR="000D57AE" w:rsidRPr="000D57AE" w:rsidRDefault="000D57AE">
      <w:pPr>
        <w:pStyle w:val="ListParagraph"/>
        <w:numPr>
          <w:ilvl w:val="2"/>
          <w:numId w:val="86"/>
        </w:numPr>
        <w:rPr>
          <w:rFonts w:ascii="Calibri" w:hAnsi="Calibri"/>
          <w:color w:val="000000" w:themeColor="text1"/>
        </w:rPr>
      </w:pPr>
      <w:r w:rsidRPr="000800C5">
        <w:rPr>
          <w:rFonts w:ascii="Calibri" w:hAnsi="Calibri" w:cs="Calibri"/>
        </w:rPr>
        <w:t>Payment shall only be made for units that have been inspected for ESG Habitability Standards and re-inspected no less frequently than annually. Rental assistance shall not be paid on behalf of any unit that does not meet ESG Habitability Standards.</w:t>
      </w:r>
    </w:p>
    <w:p w14:paraId="4FE6500E" w14:textId="19B20E33"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lastRenderedPageBreak/>
        <w:t>Inspections may be conducted via photos or video conference. There is not a requirement that ESG Habitability Standard inspections be conducted in-person</w:t>
      </w:r>
    </w:p>
    <w:p w14:paraId="5ED78B13" w14:textId="1EC18639" w:rsidR="000D57AE" w:rsidRPr="000D57AE" w:rsidRDefault="000D57AE">
      <w:pPr>
        <w:pStyle w:val="ListParagraph"/>
        <w:numPr>
          <w:ilvl w:val="2"/>
          <w:numId w:val="86"/>
        </w:numPr>
        <w:rPr>
          <w:rFonts w:ascii="Calibri" w:hAnsi="Calibri"/>
          <w:color w:val="000000" w:themeColor="text1"/>
        </w:rPr>
      </w:pPr>
      <w:r w:rsidRPr="000D57AE">
        <w:rPr>
          <w:rFonts w:ascii="Calibri" w:hAnsi="Calibri" w:cs="Calibri"/>
          <w:u w:val="single"/>
        </w:rPr>
        <w:t>Tenant-Based Rental Assistance</w:t>
      </w:r>
      <w:r w:rsidRPr="000800C5">
        <w:rPr>
          <w:rFonts w:ascii="Calibri" w:hAnsi="Calibri" w:cs="Calibri"/>
        </w:rPr>
        <w:t>: The rental assistance agreement with the unit owner shall be terminated without further payment if:</w:t>
      </w:r>
    </w:p>
    <w:p w14:paraId="014704EA" w14:textId="14EC338C"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The participant moves out of the unit;</w:t>
      </w:r>
    </w:p>
    <w:p w14:paraId="448242AC" w14:textId="1694CDC0"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The lease terminates and is not renewed; or</w:t>
      </w:r>
    </w:p>
    <w:p w14:paraId="65A5ECFB" w14:textId="211BD586"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The participant becomes ineligible to receive ESG rental assistance</w:t>
      </w:r>
    </w:p>
    <w:p w14:paraId="7F9E9152" w14:textId="77777777" w:rsidR="000D57AE" w:rsidRPr="000D57AE" w:rsidRDefault="000D57AE">
      <w:pPr>
        <w:pStyle w:val="ListParagraph"/>
        <w:numPr>
          <w:ilvl w:val="2"/>
          <w:numId w:val="86"/>
        </w:numPr>
        <w:rPr>
          <w:rFonts w:ascii="Calibri" w:hAnsi="Calibri"/>
          <w:color w:val="000000" w:themeColor="text1"/>
        </w:rPr>
      </w:pPr>
      <w:r w:rsidRPr="000D57AE">
        <w:rPr>
          <w:rFonts w:ascii="Calibri" w:hAnsi="Calibri" w:cs="Calibri"/>
          <w:u w:val="single"/>
        </w:rPr>
        <w:t>Project-Based Rental Assistance</w:t>
      </w:r>
      <w:r w:rsidRPr="000800C5">
        <w:rPr>
          <w:rFonts w:ascii="Calibri" w:hAnsi="Calibri" w:cs="Calibri"/>
        </w:rPr>
        <w:t>: Payment shall only be made under the following conditions:</w:t>
      </w:r>
      <w:r w:rsidRPr="000D57AE">
        <w:rPr>
          <w:rFonts w:ascii="Calibri" w:hAnsi="Calibri" w:cs="Calibri"/>
        </w:rPr>
        <w:t xml:space="preserve"> </w:t>
      </w:r>
    </w:p>
    <w:p w14:paraId="75578E94" w14:textId="77777777"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The lease has an initial term of one year;</w:t>
      </w:r>
      <w:r w:rsidRPr="000D57AE">
        <w:rPr>
          <w:rFonts w:ascii="Calibri" w:hAnsi="Calibri" w:cs="Calibri"/>
        </w:rPr>
        <w:t xml:space="preserve"> </w:t>
      </w:r>
    </w:p>
    <w:p w14:paraId="43DB34FF" w14:textId="3B05AD7D"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The rental assistance agreement covers one or more permanent housing units in the same building;</w:t>
      </w:r>
    </w:p>
    <w:p w14:paraId="63DD79A3" w14:textId="6E23503C"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Each unit covered by the agreement is only occupied by participants; and,</w:t>
      </w:r>
    </w:p>
    <w:p w14:paraId="5BC9F5DF" w14:textId="3927176A" w:rsidR="000D57AE" w:rsidRPr="000D57AE" w:rsidRDefault="000D57AE">
      <w:pPr>
        <w:pStyle w:val="ListParagraph"/>
        <w:numPr>
          <w:ilvl w:val="3"/>
          <w:numId w:val="86"/>
        </w:numPr>
        <w:rPr>
          <w:rFonts w:ascii="Calibri" w:hAnsi="Calibri"/>
          <w:color w:val="000000" w:themeColor="text1"/>
        </w:rPr>
      </w:pPr>
      <w:r w:rsidRPr="000800C5">
        <w:rPr>
          <w:rFonts w:ascii="Calibri" w:hAnsi="Calibri" w:cs="Calibri"/>
        </w:rPr>
        <w:t>Payment will only be made for up to 100% of the first month’s rent, if the participant signs a lease and moves into the unit before the end of the month.</w:t>
      </w:r>
    </w:p>
    <w:p w14:paraId="2BBA0511" w14:textId="469C70DA" w:rsidR="000D57AE" w:rsidRPr="000D57AE" w:rsidRDefault="000D57AE">
      <w:pPr>
        <w:pStyle w:val="ListParagraph"/>
        <w:numPr>
          <w:ilvl w:val="0"/>
          <w:numId w:val="86"/>
        </w:numPr>
        <w:rPr>
          <w:rFonts w:ascii="Calibri" w:hAnsi="Calibri"/>
          <w:color w:val="000000" w:themeColor="text1"/>
        </w:rPr>
      </w:pPr>
      <w:r>
        <w:rPr>
          <w:rFonts w:ascii="Calibri" w:hAnsi="Calibri" w:cs="Calibri"/>
        </w:rPr>
        <w:t>Re-evaluations</w:t>
      </w:r>
    </w:p>
    <w:p w14:paraId="7AA223B9" w14:textId="0A226880" w:rsidR="000D57AE" w:rsidRPr="00D52F78" w:rsidRDefault="000D57AE">
      <w:pPr>
        <w:pStyle w:val="ListParagraph"/>
        <w:numPr>
          <w:ilvl w:val="2"/>
          <w:numId w:val="86"/>
        </w:numPr>
        <w:rPr>
          <w:rFonts w:ascii="Calibri" w:hAnsi="Calibri"/>
          <w:color w:val="000000" w:themeColor="text1"/>
        </w:rPr>
      </w:pPr>
      <w:r w:rsidRPr="002F4A38">
        <w:rPr>
          <w:rFonts w:ascii="Calibri" w:hAnsi="Calibri" w:cs="Calibri"/>
        </w:rPr>
        <w:t>Following the minimum standards for completing eligibility, participants shall be re-evaluated not less than once every 3 months.</w:t>
      </w:r>
    </w:p>
    <w:p w14:paraId="650FA807" w14:textId="125F2D0C" w:rsidR="00D52F78" w:rsidRPr="00D52F78" w:rsidRDefault="00D52F78" w:rsidP="00D52F78">
      <w:pPr>
        <w:pStyle w:val="Heading2"/>
        <w:rPr>
          <w:b/>
          <w:bCs/>
          <w:color w:val="0070C0"/>
        </w:rPr>
      </w:pPr>
      <w:r w:rsidRPr="00D52F78">
        <w:rPr>
          <w:b/>
          <w:bCs/>
          <w:color w:val="0070C0"/>
        </w:rPr>
        <w:t>Rapid Re-Housing and Homeless Prevention Policies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826"/>
        <w:gridCol w:w="2952"/>
      </w:tblGrid>
      <w:tr w:rsidR="00D52F78" w14:paraId="7034F2DE" w14:textId="77777777" w:rsidTr="00535C31">
        <w:tc>
          <w:tcPr>
            <w:tcW w:w="3078" w:type="dxa"/>
            <w:shd w:val="clear" w:color="auto" w:fill="auto"/>
          </w:tcPr>
          <w:p w14:paraId="1E428458" w14:textId="5CE8E7CF" w:rsidR="00D52F78" w:rsidRDefault="00D52F78" w:rsidP="00D52F78">
            <w:pPr>
              <w:jc w:val="center"/>
            </w:pPr>
            <w:r>
              <w:t>SUBJECT:</w:t>
            </w:r>
          </w:p>
          <w:p w14:paraId="78DBD412" w14:textId="77777777" w:rsidR="00D52F78" w:rsidRDefault="00D52F78" w:rsidP="00D52F78">
            <w:pPr>
              <w:numPr>
                <w:ilvl w:val="0"/>
                <w:numId w:val="183"/>
              </w:numPr>
              <w:ind w:left="360" w:firstLine="0"/>
            </w:pPr>
            <w:r>
              <w:t>Standard policies for eligibility  in Housing Assistance Assessments</w:t>
            </w:r>
          </w:p>
        </w:tc>
        <w:tc>
          <w:tcPr>
            <w:tcW w:w="2826" w:type="dxa"/>
            <w:shd w:val="clear" w:color="auto" w:fill="auto"/>
          </w:tcPr>
          <w:p w14:paraId="2463A7E8" w14:textId="77777777" w:rsidR="00D52F78" w:rsidRDefault="00D52F78" w:rsidP="00535C31">
            <w:pPr>
              <w:jc w:val="center"/>
            </w:pPr>
            <w:r>
              <w:t>APPLICABLE TO:</w:t>
            </w:r>
          </w:p>
          <w:p w14:paraId="1E2D4261" w14:textId="77777777" w:rsidR="00D52F78" w:rsidRDefault="00D52F78" w:rsidP="00535C31">
            <w:pPr>
              <w:jc w:val="center"/>
            </w:pPr>
            <w:r>
              <w:t>Multi-Site Access Hubs</w:t>
            </w:r>
          </w:p>
          <w:p w14:paraId="49584793" w14:textId="77777777" w:rsidR="00D52F78" w:rsidRDefault="00D52F78" w:rsidP="00535C31">
            <w:pPr>
              <w:jc w:val="center"/>
              <w:rPr>
                <w:b/>
              </w:rPr>
            </w:pPr>
          </w:p>
          <w:p w14:paraId="5ABE9F0D" w14:textId="77777777" w:rsidR="00D52F78" w:rsidRPr="0016109C" w:rsidRDefault="00D52F78" w:rsidP="00535C31">
            <w:pPr>
              <w:jc w:val="center"/>
              <w:rPr>
                <w:b/>
              </w:rPr>
            </w:pPr>
            <w:r w:rsidRPr="0016109C">
              <w:rPr>
                <w:b/>
                <w:sz w:val="30"/>
              </w:rPr>
              <w:t>Rapid Re-Housing</w:t>
            </w:r>
            <w:r>
              <w:rPr>
                <w:b/>
                <w:sz w:val="30"/>
              </w:rPr>
              <w:t xml:space="preserve"> &amp; Homeless Prevention</w:t>
            </w:r>
          </w:p>
        </w:tc>
        <w:tc>
          <w:tcPr>
            <w:tcW w:w="2952" w:type="dxa"/>
            <w:shd w:val="clear" w:color="auto" w:fill="auto"/>
          </w:tcPr>
          <w:p w14:paraId="5DE8AEF5" w14:textId="77777777" w:rsidR="00D52F78" w:rsidRDefault="00D52F78" w:rsidP="00535C31">
            <w:r>
              <w:t xml:space="preserve">ISSUED: </w:t>
            </w:r>
          </w:p>
          <w:p w14:paraId="428CC2CC" w14:textId="77777777" w:rsidR="00D52F78" w:rsidRDefault="00D52F78" w:rsidP="00535C31">
            <w:r>
              <w:t>June 2012</w:t>
            </w:r>
          </w:p>
          <w:p w14:paraId="2D19E520" w14:textId="77777777" w:rsidR="00D52F78" w:rsidRDefault="00D52F78" w:rsidP="00535C31">
            <w:r>
              <w:t xml:space="preserve">CSCoC APPROVED: </w:t>
            </w:r>
          </w:p>
          <w:p w14:paraId="5577CE5F" w14:textId="77777777" w:rsidR="00D52F78" w:rsidRDefault="00D52F78" w:rsidP="00535C31">
            <w:r>
              <w:t>Jan 2019</w:t>
            </w:r>
          </w:p>
        </w:tc>
      </w:tr>
    </w:tbl>
    <w:p w14:paraId="3A561F1E" w14:textId="77777777" w:rsidR="00D52F78" w:rsidRDefault="00D52F78" w:rsidP="00D52F78"/>
    <w:p w14:paraId="14F48E1A" w14:textId="77777777" w:rsidR="00D52F78" w:rsidRDefault="00D52F78" w:rsidP="00D52F78">
      <w:pPr>
        <w:numPr>
          <w:ilvl w:val="0"/>
          <w:numId w:val="178"/>
        </w:numPr>
      </w:pPr>
      <w:r>
        <w:t>PURPOSE – to provide a formal policy framework and detailed instruction for screening of housing applicants under Emergency Solutions Grant/CoC and referrals to housing and services throughout the Central Sierra Continuum of Care.</w:t>
      </w:r>
    </w:p>
    <w:p w14:paraId="04FC4AE0" w14:textId="77777777" w:rsidR="00D52F78" w:rsidRDefault="00D52F78" w:rsidP="00D52F78">
      <w:pPr>
        <w:ind w:left="540"/>
      </w:pPr>
    </w:p>
    <w:p w14:paraId="5DD1152B" w14:textId="77777777" w:rsidR="00D52F78" w:rsidRDefault="00D52F78" w:rsidP="00D52F78">
      <w:pPr>
        <w:numPr>
          <w:ilvl w:val="0"/>
          <w:numId w:val="178"/>
        </w:numPr>
      </w:pPr>
      <w:r>
        <w:t>APPLICABILITY – this procedure applies to staff at the multi-site access hubs in Amador, Calaveras, Mariposa, and Tuolumne Counties, including ATCAA’s Sonora and Jackson Service Centers and Sierra Hope in Calaveras County, HHS Mariposa County.</w:t>
      </w:r>
    </w:p>
    <w:p w14:paraId="3925E964" w14:textId="77777777" w:rsidR="00D52F78" w:rsidRDefault="00D52F78" w:rsidP="00D52F78"/>
    <w:p w14:paraId="7E7761D7" w14:textId="77777777" w:rsidR="00D52F78" w:rsidRDefault="00D52F78" w:rsidP="00D52F78">
      <w:pPr>
        <w:numPr>
          <w:ilvl w:val="0"/>
          <w:numId w:val="178"/>
        </w:numPr>
      </w:pPr>
      <w:r>
        <w:t>UNIVERSAL FORMS</w:t>
      </w:r>
    </w:p>
    <w:p w14:paraId="44F15E01" w14:textId="77777777" w:rsidR="00D52F78" w:rsidRDefault="00D52F78" w:rsidP="00D52F78">
      <w:pPr>
        <w:ind w:left="1440"/>
      </w:pPr>
    </w:p>
    <w:p w14:paraId="7AB03197" w14:textId="77777777" w:rsidR="00D52F78" w:rsidRDefault="00D52F78" w:rsidP="00D52F78">
      <w:pPr>
        <w:numPr>
          <w:ilvl w:val="1"/>
          <w:numId w:val="178"/>
        </w:numPr>
      </w:pPr>
      <w:r>
        <w:t xml:space="preserve">Assessment of Housing Status though </w:t>
      </w:r>
      <w:r w:rsidRPr="00E131D1">
        <w:rPr>
          <w:b/>
        </w:rPr>
        <w:t>Coordinated Entry Systems</w:t>
      </w:r>
    </w:p>
    <w:p w14:paraId="546B56E7" w14:textId="77777777" w:rsidR="00D52F78" w:rsidRDefault="00D52F78" w:rsidP="00D52F78">
      <w:pPr>
        <w:numPr>
          <w:ilvl w:val="1"/>
          <w:numId w:val="178"/>
        </w:numPr>
      </w:pPr>
      <w:r>
        <w:t>Central Sierra -Home Safe Intake &amp; Assessment packet</w:t>
      </w:r>
    </w:p>
    <w:p w14:paraId="34F1CF3C" w14:textId="77777777" w:rsidR="00D52F78" w:rsidRDefault="00D52F78" w:rsidP="00D52F78">
      <w:pPr>
        <w:numPr>
          <w:ilvl w:val="1"/>
          <w:numId w:val="178"/>
        </w:numPr>
      </w:pPr>
      <w:r>
        <w:t>HMIS data entry forms</w:t>
      </w:r>
    </w:p>
    <w:p w14:paraId="3BA7F92E" w14:textId="77777777" w:rsidR="00D52F78" w:rsidRDefault="00D52F78" w:rsidP="00D52F78"/>
    <w:p w14:paraId="360F1F05" w14:textId="77777777" w:rsidR="00D52F78" w:rsidRDefault="00D52F78" w:rsidP="00D52F78">
      <w:pPr>
        <w:numPr>
          <w:ilvl w:val="0"/>
          <w:numId w:val="178"/>
        </w:numPr>
      </w:pPr>
      <w:r>
        <w:t>RELATED PROCEDURES</w:t>
      </w:r>
    </w:p>
    <w:p w14:paraId="7D25DD54" w14:textId="77777777" w:rsidR="00D52F78" w:rsidRDefault="00D52F78" w:rsidP="00D52F78">
      <w:pPr>
        <w:numPr>
          <w:ilvl w:val="1"/>
          <w:numId w:val="178"/>
        </w:numPr>
      </w:pPr>
      <w:r>
        <w:t>Homeless Prevention policy</w:t>
      </w:r>
    </w:p>
    <w:p w14:paraId="30A8C98A" w14:textId="77777777" w:rsidR="00D52F78" w:rsidRDefault="00D52F78" w:rsidP="00D52F78">
      <w:pPr>
        <w:numPr>
          <w:ilvl w:val="1"/>
          <w:numId w:val="178"/>
        </w:numPr>
      </w:pPr>
      <w:r>
        <w:t>Diversion policy</w:t>
      </w:r>
    </w:p>
    <w:p w14:paraId="56488DDF" w14:textId="77777777" w:rsidR="00D52F78" w:rsidRDefault="00D52F78" w:rsidP="00D52F78">
      <w:pPr>
        <w:numPr>
          <w:ilvl w:val="1"/>
          <w:numId w:val="178"/>
        </w:numPr>
      </w:pPr>
      <w:r>
        <w:t>Rapid Re-Housing policy</w:t>
      </w:r>
    </w:p>
    <w:p w14:paraId="38777C94" w14:textId="77777777" w:rsidR="00D52F78" w:rsidRDefault="00D52F78" w:rsidP="00D52F78">
      <w:pPr>
        <w:numPr>
          <w:ilvl w:val="1"/>
          <w:numId w:val="178"/>
        </w:numPr>
      </w:pPr>
      <w:r>
        <w:t>Suspension or Denial of Services policy</w:t>
      </w:r>
    </w:p>
    <w:p w14:paraId="5AF30810" w14:textId="77777777" w:rsidR="00D52F78" w:rsidRDefault="00D52F78" w:rsidP="00D52F78">
      <w:pPr>
        <w:numPr>
          <w:ilvl w:val="1"/>
          <w:numId w:val="178"/>
        </w:numPr>
      </w:pPr>
      <w:r>
        <w:t>ESG/ESG CV Written Standards</w:t>
      </w:r>
    </w:p>
    <w:p w14:paraId="388946E6" w14:textId="77777777" w:rsidR="00D52F78" w:rsidRDefault="00D52F78" w:rsidP="00D52F78"/>
    <w:p w14:paraId="0571AD6A" w14:textId="77777777" w:rsidR="00D52F78" w:rsidRDefault="00D52F78" w:rsidP="00D52F78">
      <w:pPr>
        <w:numPr>
          <w:ilvl w:val="0"/>
          <w:numId w:val="178"/>
        </w:numPr>
      </w:pPr>
      <w:r>
        <w:t>INTRODUCTION – Centralized assessment and screening of callers is conducted Monday through Thursday from 9 am to 4 pm at the Central Sierra CoC’s access hubs. The purpose of the assessment/screening is to determine what services or housing in the Central Sierra Continuum of Care may be appropriate for the household (individual or family).</w:t>
      </w:r>
    </w:p>
    <w:p w14:paraId="75167666" w14:textId="77777777" w:rsidR="00D52F78" w:rsidRDefault="00D52F78" w:rsidP="00D52F78">
      <w:pPr>
        <w:ind w:left="540"/>
      </w:pPr>
    </w:p>
    <w:p w14:paraId="79C91E6A" w14:textId="77777777" w:rsidR="00D52F78" w:rsidRDefault="00D52F78" w:rsidP="00D52F78">
      <w:pPr>
        <w:ind w:left="720"/>
      </w:pPr>
      <w:r>
        <w:t>Designated staff assesses all individuals that call for housing services using a universal assessment form during a telephone interview. The form determines current housing status, recent housing history and eligibility for housing and/or services based on ESG requirements and HUD definitions of “homeless” and “at risk of homelessness.” This document also generates a score regarding vulnerability and barriers to housing.</w:t>
      </w:r>
    </w:p>
    <w:p w14:paraId="33A0AFFC" w14:textId="77777777" w:rsidR="00D52F78" w:rsidRDefault="00D52F78" w:rsidP="00D52F78">
      <w:pPr>
        <w:ind w:left="720"/>
      </w:pPr>
    </w:p>
    <w:p w14:paraId="19085E23" w14:textId="77777777" w:rsidR="00D52F78" w:rsidRDefault="00D52F78" w:rsidP="00D52F78">
      <w:pPr>
        <w:numPr>
          <w:ilvl w:val="0"/>
          <w:numId w:val="178"/>
        </w:numPr>
      </w:pPr>
      <w:r>
        <w:t xml:space="preserve">DETAILED INSTRUCTIONS </w:t>
      </w:r>
    </w:p>
    <w:p w14:paraId="711015B7" w14:textId="77777777" w:rsidR="00D52F78" w:rsidRDefault="00D52F78" w:rsidP="00D52F78">
      <w:pPr>
        <w:numPr>
          <w:ilvl w:val="1"/>
          <w:numId w:val="178"/>
        </w:numPr>
      </w:pPr>
      <w:r>
        <w:t>Staff conducting screening contacts Supervisor immediately for emergencies or problem situations or tells caller to call 9-1-1.</w:t>
      </w:r>
    </w:p>
    <w:p w14:paraId="111E05BE" w14:textId="77777777" w:rsidR="00D52F78" w:rsidRDefault="00D52F78" w:rsidP="00D52F78">
      <w:pPr>
        <w:numPr>
          <w:ilvl w:val="1"/>
          <w:numId w:val="178"/>
        </w:numPr>
      </w:pPr>
      <w:r>
        <w:t>Staff asks caller questions and completes the Assessment of Housing Status form. Caller does not have to respond to all questions to receive service.</w:t>
      </w:r>
    </w:p>
    <w:p w14:paraId="47CF1208" w14:textId="77777777" w:rsidR="00D52F78" w:rsidRDefault="00D52F78" w:rsidP="00D52F78">
      <w:pPr>
        <w:numPr>
          <w:ilvl w:val="1"/>
          <w:numId w:val="178"/>
        </w:numPr>
      </w:pPr>
      <w:r>
        <w:t>Caller is asked/verifies appropriate to impute information into CES, HMIS, and if agents may speak to local service providers of all housing resources to move clients quickly through the system of care.</w:t>
      </w:r>
    </w:p>
    <w:p w14:paraId="6DF385BC" w14:textId="77777777" w:rsidR="00D52F78" w:rsidRDefault="00D52F78" w:rsidP="00D52F78">
      <w:pPr>
        <w:numPr>
          <w:ilvl w:val="1"/>
          <w:numId w:val="178"/>
        </w:numPr>
      </w:pPr>
      <w:r>
        <w:t>If client meets the definition of literally homeless and has no resources to secure new housing or return to prior housing, staff may contact the appropriate emergency shelter to schedule an intake if client agrees.</w:t>
      </w:r>
    </w:p>
    <w:p w14:paraId="325E6C6B" w14:textId="77777777" w:rsidR="00D52F78" w:rsidRDefault="00D52F78" w:rsidP="00D52F78">
      <w:pPr>
        <w:numPr>
          <w:ilvl w:val="1"/>
          <w:numId w:val="178"/>
        </w:numPr>
      </w:pPr>
      <w:r>
        <w:t>If client is referred to other housing program or another agency, staff completes referral information on the Assessment form and makes immediate contact with the appropriate program staff to schedule the referral.</w:t>
      </w:r>
    </w:p>
    <w:p w14:paraId="6B7206BB" w14:textId="6E11C670" w:rsidR="00D52F78" w:rsidRDefault="00D52F78" w:rsidP="00D52F78"/>
    <w:p w14:paraId="3AF6B983" w14:textId="2637B620" w:rsidR="00D52F78" w:rsidRDefault="00D52F78" w:rsidP="00D52F78"/>
    <w:p w14:paraId="4252B3CE" w14:textId="77777777" w:rsidR="00D52F78" w:rsidRDefault="00D52F78" w:rsidP="00D52F78"/>
    <w:p w14:paraId="1079272D" w14:textId="77777777" w:rsidR="00D52F78" w:rsidRDefault="00D52F78" w:rsidP="00D52F78"/>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3454"/>
        <w:gridCol w:w="2307"/>
      </w:tblGrid>
      <w:tr w:rsidR="00D52F78" w14:paraId="1F19DBAD" w14:textId="77777777" w:rsidTr="00535C31">
        <w:tc>
          <w:tcPr>
            <w:tcW w:w="3239" w:type="dxa"/>
            <w:tcBorders>
              <w:top w:val="single" w:sz="4" w:space="0" w:color="auto"/>
              <w:left w:val="single" w:sz="4" w:space="0" w:color="auto"/>
              <w:bottom w:val="single" w:sz="4" w:space="0" w:color="auto"/>
              <w:right w:val="single" w:sz="4" w:space="0" w:color="auto"/>
            </w:tcBorders>
          </w:tcPr>
          <w:p w14:paraId="12E0AAEA" w14:textId="77777777" w:rsidR="00D52F78" w:rsidRDefault="00D52F78" w:rsidP="00535C31">
            <w:r>
              <w:lastRenderedPageBreak/>
              <w:t xml:space="preserve">SUBJECT: </w:t>
            </w:r>
          </w:p>
          <w:p w14:paraId="50098403" w14:textId="77777777" w:rsidR="00D52F78" w:rsidRDefault="00D52F78" w:rsidP="00535C31">
            <w:r>
              <w:t xml:space="preserve">vi. Household Eligibility &amp; Prioritization for Rapid </w:t>
            </w:r>
          </w:p>
          <w:p w14:paraId="181A38FD" w14:textId="77777777" w:rsidR="00D52F78" w:rsidRDefault="00D52F78" w:rsidP="00535C31">
            <w:r>
              <w:t>Re-Housing and Homeless Prevention</w:t>
            </w:r>
          </w:p>
          <w:p w14:paraId="410909D7" w14:textId="77777777" w:rsidR="00D52F78" w:rsidRDefault="00D52F78" w:rsidP="00535C31"/>
        </w:tc>
        <w:tc>
          <w:tcPr>
            <w:tcW w:w="3454" w:type="dxa"/>
            <w:tcBorders>
              <w:top w:val="single" w:sz="4" w:space="0" w:color="auto"/>
              <w:left w:val="single" w:sz="4" w:space="0" w:color="auto"/>
              <w:bottom w:val="single" w:sz="4" w:space="0" w:color="auto"/>
              <w:right w:val="single" w:sz="4" w:space="0" w:color="auto"/>
            </w:tcBorders>
          </w:tcPr>
          <w:p w14:paraId="12CB6555" w14:textId="77777777" w:rsidR="00D52F78" w:rsidRPr="00102B43" w:rsidRDefault="00D52F78" w:rsidP="00535C31">
            <w:pPr>
              <w:jc w:val="center"/>
            </w:pPr>
            <w:r w:rsidRPr="00102B43">
              <w:t>APPLICABLE TO:</w:t>
            </w:r>
          </w:p>
          <w:p w14:paraId="1FFB3AC2" w14:textId="77777777" w:rsidR="00D52F78" w:rsidRDefault="00D52F78" w:rsidP="00535C31">
            <w:pPr>
              <w:jc w:val="center"/>
            </w:pPr>
            <w:r w:rsidRPr="00102B43">
              <w:t>Intake staff for all ESG rental assistance programs</w:t>
            </w:r>
          </w:p>
          <w:p w14:paraId="0409E5E5" w14:textId="77777777" w:rsidR="00D52F78" w:rsidRDefault="00D52F78" w:rsidP="00535C31">
            <w:pPr>
              <w:jc w:val="center"/>
            </w:pPr>
          </w:p>
          <w:p w14:paraId="0AC52543" w14:textId="77777777" w:rsidR="00D52F78" w:rsidRDefault="00D52F78" w:rsidP="00535C31">
            <w:pPr>
              <w:jc w:val="center"/>
            </w:pPr>
            <w:r w:rsidRPr="0016109C">
              <w:rPr>
                <w:b/>
                <w:sz w:val="30"/>
              </w:rPr>
              <w:t>Rapid Re-Housing</w:t>
            </w:r>
            <w:r>
              <w:rPr>
                <w:b/>
                <w:sz w:val="30"/>
              </w:rPr>
              <w:t xml:space="preserve"> &amp; Homeless Prevention</w:t>
            </w:r>
          </w:p>
        </w:tc>
        <w:tc>
          <w:tcPr>
            <w:tcW w:w="2307" w:type="dxa"/>
            <w:tcBorders>
              <w:top w:val="single" w:sz="4" w:space="0" w:color="auto"/>
              <w:left w:val="single" w:sz="4" w:space="0" w:color="auto"/>
              <w:bottom w:val="single" w:sz="4" w:space="0" w:color="auto"/>
              <w:right w:val="single" w:sz="4" w:space="0" w:color="auto"/>
            </w:tcBorders>
            <w:hideMark/>
          </w:tcPr>
          <w:p w14:paraId="48332F1D" w14:textId="77777777" w:rsidR="00D52F78" w:rsidRDefault="00D52F78" w:rsidP="00535C31">
            <w:r>
              <w:t xml:space="preserve">ISSUED: </w:t>
            </w:r>
          </w:p>
          <w:p w14:paraId="6EA35914" w14:textId="77777777" w:rsidR="00D52F78" w:rsidRDefault="00D52F78" w:rsidP="00535C31">
            <w:r>
              <w:t>June 2012</w:t>
            </w:r>
          </w:p>
          <w:p w14:paraId="0B9D438A" w14:textId="77777777" w:rsidR="00D52F78" w:rsidRDefault="00D52F78" w:rsidP="00535C31">
            <w:r>
              <w:t>APPROVED CSCoC:</w:t>
            </w:r>
          </w:p>
          <w:p w14:paraId="2B34AE92" w14:textId="77777777" w:rsidR="00D52F78" w:rsidRDefault="00D52F78" w:rsidP="00535C31">
            <w:pPr>
              <w:rPr>
                <w:b/>
              </w:rPr>
            </w:pPr>
            <w:r>
              <w:t>Jan 2019</w:t>
            </w:r>
          </w:p>
        </w:tc>
      </w:tr>
    </w:tbl>
    <w:p w14:paraId="3E0D3E03" w14:textId="77777777" w:rsidR="00D52F78" w:rsidRDefault="00D52F78" w:rsidP="00D52F78"/>
    <w:p w14:paraId="1D10BB7B" w14:textId="77777777" w:rsidR="00D52F78" w:rsidRDefault="00D52F78" w:rsidP="00D52F78">
      <w:pPr>
        <w:numPr>
          <w:ilvl w:val="0"/>
          <w:numId w:val="185"/>
        </w:numPr>
      </w:pPr>
      <w:r>
        <w:t xml:space="preserve">PURPOSE - to provide a formal policy framework and detailed instruction for determining which eligible families and individuals receive homeless prevention and rapid re-housing assistance in the Central Sierra Continuum of Care </w:t>
      </w:r>
    </w:p>
    <w:p w14:paraId="25F50E9D" w14:textId="77777777" w:rsidR="00D52F78" w:rsidRDefault="00D52F78" w:rsidP="00D52F78">
      <w:pPr>
        <w:ind w:left="540"/>
      </w:pPr>
    </w:p>
    <w:p w14:paraId="453E67F7" w14:textId="77777777" w:rsidR="00D52F78" w:rsidRDefault="00D52F78" w:rsidP="00D52F78">
      <w:pPr>
        <w:numPr>
          <w:ilvl w:val="0"/>
          <w:numId w:val="185"/>
        </w:numPr>
      </w:pPr>
      <w:r>
        <w:t xml:space="preserve">APPLICABILITY - this procedure applies to rental assistance providers under the Emergency Solutions –CoC Grants in the Central Sierra Continuum of Care. The geographic area is Amador, Calaveras, Tuolumne, and Mariposa counties. </w:t>
      </w:r>
    </w:p>
    <w:p w14:paraId="06273AC9" w14:textId="77777777" w:rsidR="00D52F78" w:rsidRDefault="00D52F78" w:rsidP="00D52F78"/>
    <w:p w14:paraId="2A06F282" w14:textId="77777777" w:rsidR="00D52F78" w:rsidRDefault="00D52F78" w:rsidP="00D52F78">
      <w:pPr>
        <w:numPr>
          <w:ilvl w:val="0"/>
          <w:numId w:val="185"/>
        </w:numPr>
      </w:pPr>
      <w:r>
        <w:t>FORMS</w:t>
      </w:r>
    </w:p>
    <w:p w14:paraId="6792359F" w14:textId="77777777" w:rsidR="00D52F78" w:rsidRDefault="00D52F78" w:rsidP="00D52F78">
      <w:pPr>
        <w:numPr>
          <w:ilvl w:val="1"/>
          <w:numId w:val="185"/>
        </w:numPr>
      </w:pPr>
      <w:r>
        <w:t xml:space="preserve">Assessment of Housing Status through </w:t>
      </w:r>
      <w:r w:rsidRPr="00E131D1">
        <w:rPr>
          <w:b/>
        </w:rPr>
        <w:t>CES</w:t>
      </w:r>
    </w:p>
    <w:p w14:paraId="6F201124" w14:textId="77777777" w:rsidR="00D52F78" w:rsidRDefault="00D52F78" w:rsidP="00D52F78">
      <w:pPr>
        <w:numPr>
          <w:ilvl w:val="1"/>
          <w:numId w:val="185"/>
        </w:numPr>
      </w:pPr>
      <w:r>
        <w:t>Home Safe Intake &amp; Assessment packet</w:t>
      </w:r>
    </w:p>
    <w:p w14:paraId="3C3E8000" w14:textId="77777777" w:rsidR="00D52F78" w:rsidRDefault="00D52F78" w:rsidP="00D52F78">
      <w:pPr>
        <w:numPr>
          <w:ilvl w:val="1"/>
          <w:numId w:val="185"/>
        </w:numPr>
      </w:pPr>
      <w:r>
        <w:t>HMIS data entry form (unless DV survivors)</w:t>
      </w:r>
    </w:p>
    <w:p w14:paraId="44C14575" w14:textId="77777777" w:rsidR="00D52F78" w:rsidRDefault="00D52F78" w:rsidP="00D52F78"/>
    <w:p w14:paraId="459281F4" w14:textId="77777777" w:rsidR="00D52F78" w:rsidRDefault="00D52F78" w:rsidP="00D52F78">
      <w:pPr>
        <w:numPr>
          <w:ilvl w:val="0"/>
          <w:numId w:val="185"/>
        </w:numPr>
      </w:pPr>
      <w:r>
        <w:t>RELATED PROCEDURES</w:t>
      </w:r>
    </w:p>
    <w:p w14:paraId="20904F6D" w14:textId="77777777" w:rsidR="00D52F78" w:rsidRDefault="00D52F78" w:rsidP="00D52F78">
      <w:pPr>
        <w:numPr>
          <w:ilvl w:val="1"/>
          <w:numId w:val="185"/>
        </w:numPr>
      </w:pPr>
      <w:r>
        <w:t>Homeless Prevention and Rapid Re-Housing guidelines</w:t>
      </w:r>
    </w:p>
    <w:p w14:paraId="5B43BDA5" w14:textId="77777777" w:rsidR="00D52F78" w:rsidRDefault="00D52F78" w:rsidP="00D52F78">
      <w:pPr>
        <w:numPr>
          <w:ilvl w:val="1"/>
          <w:numId w:val="185"/>
        </w:numPr>
      </w:pPr>
      <w:r>
        <w:t>Housing Opportunities for Persons with AIDS</w:t>
      </w:r>
    </w:p>
    <w:p w14:paraId="50CF53DC" w14:textId="77777777" w:rsidR="00D52F78" w:rsidRDefault="00D52F78" w:rsidP="00D52F78">
      <w:pPr>
        <w:numPr>
          <w:ilvl w:val="1"/>
          <w:numId w:val="185"/>
        </w:numPr>
      </w:pPr>
      <w:r>
        <w:t xml:space="preserve">DV referral,  service connections </w:t>
      </w:r>
    </w:p>
    <w:p w14:paraId="3CD0EE7F" w14:textId="77777777" w:rsidR="00D52F78" w:rsidRDefault="00D52F78" w:rsidP="00D52F78">
      <w:pPr>
        <w:numPr>
          <w:ilvl w:val="1"/>
          <w:numId w:val="185"/>
        </w:numPr>
      </w:pPr>
      <w:r>
        <w:t>Housing Choice Voucher program</w:t>
      </w:r>
    </w:p>
    <w:p w14:paraId="365A543B" w14:textId="77777777" w:rsidR="00D52F78" w:rsidRDefault="00D52F78" w:rsidP="00D52F78">
      <w:pPr>
        <w:numPr>
          <w:ilvl w:val="1"/>
          <w:numId w:val="185"/>
        </w:numPr>
      </w:pPr>
      <w:r>
        <w:t>Amador Housing Assistance program</w:t>
      </w:r>
    </w:p>
    <w:p w14:paraId="425E29F5" w14:textId="77777777" w:rsidR="00D52F78" w:rsidRDefault="00D52F78" w:rsidP="00D52F78">
      <w:pPr>
        <w:numPr>
          <w:ilvl w:val="1"/>
          <w:numId w:val="185"/>
        </w:numPr>
      </w:pPr>
      <w:r>
        <w:t xml:space="preserve"> All Counties </w:t>
      </w:r>
      <w:proofErr w:type="spellStart"/>
      <w:r>
        <w:t>CalWorks</w:t>
      </w:r>
      <w:proofErr w:type="spellEnd"/>
      <w:r>
        <w:t xml:space="preserve"> HSP- HA, Deposit Programs</w:t>
      </w:r>
    </w:p>
    <w:p w14:paraId="317C83A2" w14:textId="77777777" w:rsidR="00D52F78" w:rsidRDefault="00D52F78" w:rsidP="00D52F78">
      <w:pPr>
        <w:numPr>
          <w:ilvl w:val="1"/>
          <w:numId w:val="185"/>
        </w:numPr>
      </w:pPr>
      <w:r>
        <w:t>Veterans, SSVF, GPD, VASH</w:t>
      </w:r>
    </w:p>
    <w:p w14:paraId="10D29959" w14:textId="77777777" w:rsidR="00D52F78" w:rsidRDefault="00D52F78" w:rsidP="00D52F78">
      <w:pPr>
        <w:numPr>
          <w:ilvl w:val="1"/>
          <w:numId w:val="185"/>
        </w:numPr>
      </w:pPr>
      <w:r>
        <w:t>Agencies’ Suspension or Denial of Services policies</w:t>
      </w:r>
    </w:p>
    <w:p w14:paraId="7A51A759" w14:textId="77777777" w:rsidR="00D52F78" w:rsidRDefault="00D52F78" w:rsidP="00D52F78"/>
    <w:p w14:paraId="298DEE21" w14:textId="77777777" w:rsidR="00D52F78" w:rsidRDefault="00D52F78" w:rsidP="00D52F78"/>
    <w:p w14:paraId="44F537F0" w14:textId="79C8B8EE" w:rsidR="00D52F78" w:rsidRPr="00D52F78" w:rsidRDefault="00D52F78" w:rsidP="00D52F78">
      <w:pPr>
        <w:numPr>
          <w:ilvl w:val="0"/>
          <w:numId w:val="185"/>
        </w:numPr>
      </w:pPr>
      <w:r>
        <w:t xml:space="preserve">INTRODUCTION – In compliance with HUD’s emphasis on preventing homelessness and rapidly re-housing those who are literally homeless, the most vulnerable and at greatest risk, these instructions set forth guidelines for determining eligibility based on the definitions of </w:t>
      </w:r>
      <w:r>
        <w:rPr>
          <w:u w:val="single"/>
        </w:rPr>
        <w:t>at-risk of homelessness</w:t>
      </w:r>
      <w:r>
        <w:t xml:space="preserve"> and </w:t>
      </w:r>
      <w:r>
        <w:rPr>
          <w:u w:val="single"/>
        </w:rPr>
        <w:t>homeless.</w:t>
      </w:r>
    </w:p>
    <w:p w14:paraId="246B6D29" w14:textId="48478A8C" w:rsidR="00D52F78" w:rsidRDefault="00D52F78" w:rsidP="00D52F78">
      <w:pPr>
        <w:ind w:left="720"/>
      </w:pPr>
    </w:p>
    <w:p w14:paraId="7B9AEFBA" w14:textId="77777777" w:rsidR="00D52F78" w:rsidRDefault="00D52F78" w:rsidP="00D52F78">
      <w:pPr>
        <w:ind w:left="720"/>
      </w:pPr>
    </w:p>
    <w:p w14:paraId="0E6FC4C3" w14:textId="77777777" w:rsidR="00D52F78" w:rsidRDefault="00D52F78" w:rsidP="00D52F78"/>
    <w:p w14:paraId="70DC26C2" w14:textId="77777777" w:rsidR="00D52F78" w:rsidRDefault="00D52F78" w:rsidP="00D52F78">
      <w:pPr>
        <w:numPr>
          <w:ilvl w:val="0"/>
          <w:numId w:val="185"/>
        </w:numPr>
      </w:pPr>
      <w:r>
        <w:lastRenderedPageBreak/>
        <w:t xml:space="preserve">DETAILED INSTRUCTIONS </w:t>
      </w:r>
    </w:p>
    <w:tbl>
      <w:tblPr>
        <w:tblW w:w="10242" w:type="dxa"/>
        <w:tblInd w:w="-342" w:type="dxa"/>
        <w:tblLook w:val="00A0" w:firstRow="1" w:lastRow="0" w:firstColumn="1" w:lastColumn="0" w:noHBand="0" w:noVBand="0"/>
      </w:tblPr>
      <w:tblGrid>
        <w:gridCol w:w="9853"/>
        <w:gridCol w:w="389"/>
      </w:tblGrid>
      <w:tr w:rsidR="00D52F78" w14:paraId="0E1F16A0" w14:textId="77777777" w:rsidTr="00535C31">
        <w:tc>
          <w:tcPr>
            <w:tcW w:w="10242" w:type="dxa"/>
            <w:gridSpan w:val="2"/>
          </w:tcPr>
          <w:p w14:paraId="48C7C9FA" w14:textId="77777777" w:rsidR="00D52F78" w:rsidRDefault="00D52F78" w:rsidP="00535C31">
            <w:pPr>
              <w:ind w:left="1152"/>
              <w:rPr>
                <w:b/>
                <w:i/>
                <w:u w:val="single"/>
              </w:rPr>
            </w:pPr>
          </w:p>
          <w:p w14:paraId="339C4C12" w14:textId="77777777" w:rsidR="00D52F78" w:rsidRDefault="00D52F78" w:rsidP="00535C31">
            <w:pPr>
              <w:ind w:firstLine="882"/>
            </w:pPr>
            <w:r>
              <w:rPr>
                <w:b/>
                <w:i/>
                <w:u w:val="single"/>
              </w:rPr>
              <w:t>At-Risk of homelessness</w:t>
            </w:r>
          </w:p>
        </w:tc>
      </w:tr>
      <w:tr w:rsidR="00D52F78" w14:paraId="7F23AA6D" w14:textId="77777777" w:rsidTr="00535C31">
        <w:tc>
          <w:tcPr>
            <w:tcW w:w="9853" w:type="dxa"/>
          </w:tcPr>
          <w:p w14:paraId="59B3A18F" w14:textId="77777777" w:rsidR="00D52F78" w:rsidRPr="00992B29" w:rsidRDefault="00D52F78" w:rsidP="00535C31">
            <w:pPr>
              <w:ind w:left="1692"/>
              <w:rPr>
                <w:b/>
                <w:strike/>
                <w:color w:val="000000"/>
              </w:rPr>
            </w:pPr>
            <w:r w:rsidRPr="00992B29">
              <w:rPr>
                <w:b/>
                <w:color w:val="000000"/>
              </w:rPr>
              <w:t>Eligibility:</w:t>
            </w:r>
          </w:p>
          <w:p w14:paraId="5B49D5F2" w14:textId="77777777" w:rsidR="00D52F78" w:rsidRPr="00992B29" w:rsidRDefault="00D52F78" w:rsidP="00D52F78">
            <w:pPr>
              <w:numPr>
                <w:ilvl w:val="0"/>
                <w:numId w:val="180"/>
              </w:numPr>
              <w:ind w:left="1692" w:firstLine="0"/>
              <w:rPr>
                <w:b/>
                <w:color w:val="000000"/>
              </w:rPr>
            </w:pPr>
            <w:r w:rsidRPr="00992B29">
              <w:rPr>
                <w:b/>
                <w:color w:val="000000"/>
              </w:rPr>
              <w:t>ESG funded Rapid Re-Housing must be extremely low income, less than 30% of area median income.</w:t>
            </w:r>
          </w:p>
          <w:p w14:paraId="3AA18D71" w14:textId="77777777" w:rsidR="00D52F78" w:rsidRPr="00992B29" w:rsidRDefault="00D52F78" w:rsidP="00D52F78">
            <w:pPr>
              <w:numPr>
                <w:ilvl w:val="0"/>
                <w:numId w:val="180"/>
              </w:numPr>
              <w:ind w:left="1692" w:firstLine="0"/>
              <w:rPr>
                <w:b/>
                <w:color w:val="000000"/>
              </w:rPr>
            </w:pPr>
            <w:r w:rsidRPr="00992B29">
              <w:rPr>
                <w:b/>
                <w:color w:val="000000"/>
              </w:rPr>
              <w:t>COC funded Rapid Re-Housing</w:t>
            </w:r>
            <w:r>
              <w:rPr>
                <w:b/>
                <w:color w:val="000000"/>
              </w:rPr>
              <w:t xml:space="preserve"> must be low-income, less than 5</w:t>
            </w:r>
            <w:r w:rsidRPr="00992B29">
              <w:rPr>
                <w:b/>
                <w:color w:val="000000"/>
              </w:rPr>
              <w:t>0% of area median income.</w:t>
            </w:r>
          </w:p>
          <w:p w14:paraId="62BBEA6F" w14:textId="77777777" w:rsidR="00D52F78" w:rsidRPr="00992B29" w:rsidRDefault="00D52F78" w:rsidP="00D52F78">
            <w:pPr>
              <w:numPr>
                <w:ilvl w:val="0"/>
                <w:numId w:val="180"/>
              </w:numPr>
              <w:ind w:left="1692" w:firstLine="0"/>
              <w:rPr>
                <w:b/>
                <w:color w:val="000000"/>
              </w:rPr>
            </w:pPr>
            <w:r w:rsidRPr="00992B29">
              <w:rPr>
                <w:b/>
                <w:color w:val="000000"/>
              </w:rPr>
              <w:t xml:space="preserve">Rev. </w:t>
            </w:r>
            <w:r>
              <w:rPr>
                <w:b/>
                <w:color w:val="000000"/>
              </w:rPr>
              <w:t>1-2019</w:t>
            </w:r>
          </w:p>
          <w:p w14:paraId="5E1DA1FA" w14:textId="77777777" w:rsidR="00D52F78" w:rsidRDefault="00D52F78" w:rsidP="00D52F78">
            <w:pPr>
              <w:numPr>
                <w:ilvl w:val="0"/>
                <w:numId w:val="179"/>
              </w:numPr>
              <w:ind w:left="1692" w:hanging="630"/>
            </w:pPr>
            <w:r>
              <w:t>Household lacks resources and support network to keep them from becoming homeless</w:t>
            </w:r>
          </w:p>
          <w:p w14:paraId="31DBE51D" w14:textId="77777777" w:rsidR="00D52F78" w:rsidRDefault="00D52F78" w:rsidP="00D52F78">
            <w:pPr>
              <w:numPr>
                <w:ilvl w:val="0"/>
                <w:numId w:val="179"/>
              </w:numPr>
              <w:ind w:left="1692" w:hanging="630"/>
            </w:pPr>
            <w:r>
              <w:t>Household has one or more of following risk factors:</w:t>
            </w:r>
          </w:p>
          <w:p w14:paraId="5BF15596" w14:textId="77777777" w:rsidR="00D52F78" w:rsidRDefault="00D52F78" w:rsidP="00D52F78">
            <w:pPr>
              <w:numPr>
                <w:ilvl w:val="0"/>
                <w:numId w:val="180"/>
              </w:numPr>
              <w:ind w:left="1692" w:firstLine="0"/>
            </w:pPr>
            <w:r>
              <w:t>Frequent moves due to economic instability</w:t>
            </w:r>
          </w:p>
          <w:p w14:paraId="546D4358" w14:textId="77777777" w:rsidR="00D52F78" w:rsidRDefault="00D52F78" w:rsidP="00D52F78">
            <w:pPr>
              <w:numPr>
                <w:ilvl w:val="0"/>
                <w:numId w:val="180"/>
              </w:numPr>
              <w:ind w:left="1692" w:firstLine="0"/>
            </w:pPr>
            <w:r>
              <w:t>Doubled up in another family’s home due to economic  instability</w:t>
            </w:r>
          </w:p>
          <w:p w14:paraId="7EBD575D" w14:textId="77777777" w:rsidR="00D52F78" w:rsidRDefault="00D52F78" w:rsidP="00D52F78">
            <w:pPr>
              <w:numPr>
                <w:ilvl w:val="0"/>
                <w:numId w:val="180"/>
              </w:numPr>
              <w:ind w:left="1692" w:firstLine="0"/>
            </w:pPr>
            <w:r>
              <w:t>Eviction notification received</w:t>
            </w:r>
          </w:p>
          <w:p w14:paraId="40CD872B" w14:textId="77777777" w:rsidR="00D52F78" w:rsidRDefault="00D52F78" w:rsidP="00535C31"/>
          <w:p w14:paraId="27C7442E" w14:textId="77777777" w:rsidR="00D52F78" w:rsidRDefault="00D52F78" w:rsidP="00D52F78">
            <w:pPr>
              <w:numPr>
                <w:ilvl w:val="0"/>
                <w:numId w:val="185"/>
              </w:numPr>
            </w:pPr>
            <w:r>
              <w:t>SUBJECT: Household Eligibility &amp; Prioritization for Homeless Prevention and Rapid Re-Housing</w:t>
            </w:r>
          </w:p>
          <w:p w14:paraId="228F5E19" w14:textId="77777777" w:rsidR="00D52F78" w:rsidRDefault="00D52F78" w:rsidP="00D52F78">
            <w:pPr>
              <w:numPr>
                <w:ilvl w:val="0"/>
                <w:numId w:val="180"/>
              </w:numPr>
              <w:ind w:left="1692" w:firstLine="0"/>
            </w:pPr>
            <w:r>
              <w:t>Lives in severely overcrowded housing</w:t>
            </w:r>
          </w:p>
        </w:tc>
        <w:tc>
          <w:tcPr>
            <w:tcW w:w="389" w:type="dxa"/>
          </w:tcPr>
          <w:p w14:paraId="7119A033" w14:textId="77777777" w:rsidR="00D52F78" w:rsidRDefault="00D52F78" w:rsidP="00535C31">
            <w:pPr>
              <w:ind w:left="360" w:firstLine="1574"/>
              <w:rPr>
                <w:rFonts w:ascii="Calibri" w:hAnsi="Calibri"/>
                <w:sz w:val="22"/>
                <w:szCs w:val="22"/>
              </w:rPr>
            </w:pPr>
          </w:p>
        </w:tc>
      </w:tr>
      <w:tr w:rsidR="00D52F78" w14:paraId="281413F4" w14:textId="77777777" w:rsidTr="00535C31">
        <w:tc>
          <w:tcPr>
            <w:tcW w:w="9853" w:type="dxa"/>
            <w:hideMark/>
          </w:tcPr>
          <w:p w14:paraId="164E1900" w14:textId="77777777" w:rsidR="00D52F78" w:rsidRDefault="00D52F78" w:rsidP="00D52F78">
            <w:pPr>
              <w:numPr>
                <w:ilvl w:val="0"/>
                <w:numId w:val="180"/>
              </w:numPr>
              <w:ind w:left="1692" w:firstLine="0"/>
            </w:pPr>
            <w:r>
              <w:t>Lives in motel/hotel room at own expense</w:t>
            </w:r>
          </w:p>
        </w:tc>
        <w:tc>
          <w:tcPr>
            <w:tcW w:w="389" w:type="dxa"/>
          </w:tcPr>
          <w:p w14:paraId="4D21E326" w14:textId="77777777" w:rsidR="00D52F78" w:rsidRDefault="00D52F78" w:rsidP="00535C31">
            <w:pPr>
              <w:ind w:left="360"/>
              <w:rPr>
                <w:rFonts w:ascii="Calibri" w:hAnsi="Calibri"/>
                <w:sz w:val="22"/>
                <w:szCs w:val="22"/>
              </w:rPr>
            </w:pPr>
          </w:p>
        </w:tc>
      </w:tr>
      <w:tr w:rsidR="00D52F78" w14:paraId="247D8FAA" w14:textId="77777777" w:rsidTr="00535C31">
        <w:tc>
          <w:tcPr>
            <w:tcW w:w="9853" w:type="dxa"/>
            <w:hideMark/>
          </w:tcPr>
          <w:p w14:paraId="254E47BE" w14:textId="77777777" w:rsidR="00D52F78" w:rsidRDefault="00D52F78" w:rsidP="00D52F78">
            <w:pPr>
              <w:numPr>
                <w:ilvl w:val="0"/>
                <w:numId w:val="180"/>
              </w:numPr>
              <w:ind w:left="1692" w:firstLine="0"/>
            </w:pPr>
            <w:r>
              <w:t>Exiting an institution</w:t>
            </w:r>
          </w:p>
        </w:tc>
        <w:tc>
          <w:tcPr>
            <w:tcW w:w="389" w:type="dxa"/>
          </w:tcPr>
          <w:p w14:paraId="4722FE2B" w14:textId="77777777" w:rsidR="00D52F78" w:rsidRDefault="00D52F78" w:rsidP="00535C31">
            <w:pPr>
              <w:ind w:left="360"/>
              <w:rPr>
                <w:rFonts w:ascii="Calibri" w:hAnsi="Calibri"/>
                <w:sz w:val="22"/>
                <w:szCs w:val="22"/>
              </w:rPr>
            </w:pPr>
          </w:p>
        </w:tc>
      </w:tr>
      <w:tr w:rsidR="00D52F78" w14:paraId="435FBE1D" w14:textId="77777777" w:rsidTr="00535C31">
        <w:tc>
          <w:tcPr>
            <w:tcW w:w="9853" w:type="dxa"/>
            <w:hideMark/>
          </w:tcPr>
          <w:p w14:paraId="7FFD30A4" w14:textId="77777777" w:rsidR="00D52F78" w:rsidRDefault="00D52F78" w:rsidP="00D52F78">
            <w:pPr>
              <w:numPr>
                <w:ilvl w:val="0"/>
                <w:numId w:val="180"/>
              </w:numPr>
              <w:ind w:left="1692" w:firstLine="0"/>
            </w:pPr>
            <w:r>
              <w:t>Lives in sub-standard, unsafe housing or condemned housing</w:t>
            </w:r>
          </w:p>
        </w:tc>
        <w:tc>
          <w:tcPr>
            <w:tcW w:w="389" w:type="dxa"/>
          </w:tcPr>
          <w:p w14:paraId="2F3FF326" w14:textId="77777777" w:rsidR="00D52F78" w:rsidRDefault="00D52F78" w:rsidP="00535C31">
            <w:pPr>
              <w:ind w:left="360"/>
              <w:rPr>
                <w:rFonts w:ascii="Calibri" w:hAnsi="Calibri"/>
                <w:sz w:val="22"/>
                <w:szCs w:val="22"/>
              </w:rPr>
            </w:pPr>
          </w:p>
        </w:tc>
      </w:tr>
      <w:tr w:rsidR="00D52F78" w14:paraId="3649274D" w14:textId="77777777" w:rsidTr="00535C31">
        <w:tc>
          <w:tcPr>
            <w:tcW w:w="9853" w:type="dxa"/>
            <w:hideMark/>
          </w:tcPr>
          <w:p w14:paraId="4B0D390C" w14:textId="77777777" w:rsidR="00D52F78" w:rsidRDefault="00D52F78" w:rsidP="00D52F78">
            <w:pPr>
              <w:numPr>
                <w:ilvl w:val="0"/>
                <w:numId w:val="179"/>
              </w:numPr>
              <w:ind w:left="1422"/>
            </w:pPr>
            <w:r>
              <w:t xml:space="preserve">All families with children and youth defined as homeless under other federal statutes. </w:t>
            </w:r>
          </w:p>
          <w:p w14:paraId="55526B62" w14:textId="77777777" w:rsidR="00D52F78" w:rsidRDefault="00D52F78" w:rsidP="00D52F78">
            <w:pPr>
              <w:numPr>
                <w:ilvl w:val="0"/>
                <w:numId w:val="179"/>
              </w:numPr>
              <w:ind w:left="1422"/>
            </w:pPr>
            <w:r>
              <w:t>Any individual or family who is fleeing, or is attempting to flee, domestic violence, dating violence, sexual assault, stalking, or other dangerous or life-threatening conditions that relate to violence against the individual or a family member</w:t>
            </w:r>
          </w:p>
        </w:tc>
        <w:tc>
          <w:tcPr>
            <w:tcW w:w="389" w:type="dxa"/>
          </w:tcPr>
          <w:p w14:paraId="55EE6944" w14:textId="77777777" w:rsidR="00D52F78" w:rsidRDefault="00D52F78" w:rsidP="00535C31">
            <w:pPr>
              <w:ind w:left="360"/>
              <w:rPr>
                <w:rFonts w:ascii="Calibri" w:hAnsi="Calibri"/>
                <w:sz w:val="22"/>
                <w:szCs w:val="22"/>
              </w:rPr>
            </w:pPr>
          </w:p>
        </w:tc>
      </w:tr>
      <w:tr w:rsidR="00D52F78" w14:paraId="5B864B02" w14:textId="77777777" w:rsidTr="00535C31">
        <w:tc>
          <w:tcPr>
            <w:tcW w:w="9853" w:type="dxa"/>
          </w:tcPr>
          <w:p w14:paraId="2F758765" w14:textId="77777777" w:rsidR="00D52F78" w:rsidRDefault="00D52F78" w:rsidP="00535C31">
            <w:pPr>
              <w:rPr>
                <w:rFonts w:ascii="Calibri" w:hAnsi="Calibri"/>
                <w:sz w:val="22"/>
                <w:szCs w:val="22"/>
              </w:rPr>
            </w:pPr>
          </w:p>
        </w:tc>
        <w:tc>
          <w:tcPr>
            <w:tcW w:w="389" w:type="dxa"/>
          </w:tcPr>
          <w:p w14:paraId="4AD8000A" w14:textId="77777777" w:rsidR="00D52F78" w:rsidRDefault="00D52F78" w:rsidP="00535C31">
            <w:pPr>
              <w:rPr>
                <w:rFonts w:ascii="Calibri" w:hAnsi="Calibri"/>
                <w:sz w:val="22"/>
                <w:szCs w:val="22"/>
              </w:rPr>
            </w:pPr>
          </w:p>
        </w:tc>
      </w:tr>
      <w:tr w:rsidR="00D52F78" w14:paraId="03E60BD5" w14:textId="77777777" w:rsidTr="00535C31">
        <w:tc>
          <w:tcPr>
            <w:tcW w:w="9853" w:type="dxa"/>
          </w:tcPr>
          <w:p w14:paraId="49F88197" w14:textId="77777777" w:rsidR="00D52F78" w:rsidRDefault="00D52F78" w:rsidP="00535C31">
            <w:pPr>
              <w:rPr>
                <w:rFonts w:ascii="Calibri" w:hAnsi="Calibri"/>
                <w:sz w:val="22"/>
                <w:szCs w:val="22"/>
              </w:rPr>
            </w:pPr>
          </w:p>
        </w:tc>
        <w:tc>
          <w:tcPr>
            <w:tcW w:w="389" w:type="dxa"/>
          </w:tcPr>
          <w:p w14:paraId="5D904CFA" w14:textId="77777777" w:rsidR="00D52F78" w:rsidRDefault="00D52F78" w:rsidP="00535C31">
            <w:pPr>
              <w:rPr>
                <w:rFonts w:ascii="Calibri" w:hAnsi="Calibri"/>
                <w:sz w:val="22"/>
                <w:szCs w:val="22"/>
              </w:rPr>
            </w:pPr>
          </w:p>
        </w:tc>
      </w:tr>
      <w:tr w:rsidR="00D52F78" w14:paraId="3C614994" w14:textId="77777777" w:rsidTr="00535C31">
        <w:tc>
          <w:tcPr>
            <w:tcW w:w="10242" w:type="dxa"/>
            <w:gridSpan w:val="2"/>
            <w:hideMark/>
          </w:tcPr>
          <w:p w14:paraId="2B60AB45" w14:textId="77777777" w:rsidR="00D52F78" w:rsidRDefault="00D52F78" w:rsidP="00535C31">
            <w:pPr>
              <w:ind w:left="2142" w:hanging="1260"/>
            </w:pPr>
            <w:r>
              <w:rPr>
                <w:b/>
                <w:i/>
                <w:u w:val="single"/>
              </w:rPr>
              <w:t xml:space="preserve">Homeless </w:t>
            </w:r>
            <w:r>
              <w:t>-   An individual or family who lacks a fixed, regular, and adequate nighttime residence, meaning:</w:t>
            </w:r>
          </w:p>
          <w:p w14:paraId="36973515" w14:textId="77777777" w:rsidR="00D52F78" w:rsidRDefault="00D52F78" w:rsidP="00D52F78">
            <w:pPr>
              <w:pStyle w:val="ListParagraph"/>
              <w:numPr>
                <w:ilvl w:val="0"/>
                <w:numId w:val="181"/>
              </w:numPr>
              <w:ind w:left="1422"/>
            </w:pPr>
            <w:r>
              <w:t>Primary nighttime residence that is a public or private place not designed for or ordinarily used as a regular sleeping accommodation for human beings;</w:t>
            </w:r>
          </w:p>
          <w:p w14:paraId="61DC3740" w14:textId="77777777" w:rsidR="00D52F78" w:rsidRDefault="00D52F78" w:rsidP="00D52F78">
            <w:pPr>
              <w:numPr>
                <w:ilvl w:val="0"/>
                <w:numId w:val="181"/>
              </w:numPr>
              <w:ind w:left="1422"/>
            </w:pPr>
            <w:r>
              <w:t>Living in a supervised publicly or privately operated shelter designated to provide temporary living arrangements (including congregate shelters, transitional housing,</w:t>
            </w:r>
            <w:r>
              <w:rPr>
                <w:rStyle w:val="EndnoteReference"/>
              </w:rPr>
              <w:t xml:space="preserve"> </w:t>
            </w:r>
            <w:r>
              <w:t>and hotels and motels paid for by charitable organizations</w:t>
            </w:r>
          </w:p>
          <w:p w14:paraId="58407D2C" w14:textId="77777777" w:rsidR="00D52F78" w:rsidRDefault="00D52F78" w:rsidP="00D52F78">
            <w:pPr>
              <w:numPr>
                <w:ilvl w:val="0"/>
                <w:numId w:val="181"/>
              </w:numPr>
              <w:ind w:left="1422"/>
            </w:pPr>
            <w:r>
              <w:lastRenderedPageBreak/>
              <w:t>Staying in a hospital/institution up to 90 days, but homeless prior to admission</w:t>
            </w:r>
          </w:p>
          <w:p w14:paraId="3D0EE28B" w14:textId="77777777" w:rsidR="00D52F78" w:rsidRDefault="00D52F78" w:rsidP="00D52F78">
            <w:pPr>
              <w:numPr>
                <w:ilvl w:val="0"/>
                <w:numId w:val="181"/>
              </w:numPr>
              <w:ind w:left="1422"/>
            </w:pPr>
            <w:r>
              <w:t>Losing  their primary nighttime residence  within 14 days and no subsequent residence has been identified, and  lacking the resources or support networks, e.g., family, friends, faith-based or other social networks needed to obtain other permanent housing;</w:t>
            </w:r>
          </w:p>
          <w:p w14:paraId="7F15B500" w14:textId="77777777" w:rsidR="00D52F78" w:rsidRDefault="00D52F78" w:rsidP="00D52F78">
            <w:pPr>
              <w:numPr>
                <w:ilvl w:val="0"/>
                <w:numId w:val="181"/>
              </w:numPr>
              <w:ind w:left="1422"/>
            </w:pPr>
            <w:r>
              <w:t>Unaccompanied youth under 25 years of age, or families with children and youth who are defined as homeless under other federal statutes, have not had a lease, ownership interest, or occupancy agreement in permanent housing at any time during the past 60 days, have experienced two or more moves during the past 60 days and can be expected to continue in such status for an extended period of time because of chronic disabilities, chronic physical health or mental health conditions, substance addiction, histories of domestic violence or childhood abuse (including neglect), the presence of a child or youth with a disability or significant more barriers to employment;</w:t>
            </w:r>
          </w:p>
          <w:p w14:paraId="7ECDBE47" w14:textId="77777777" w:rsidR="00D52F78" w:rsidRDefault="00D52F78" w:rsidP="00D52F78">
            <w:pPr>
              <w:numPr>
                <w:ilvl w:val="0"/>
                <w:numId w:val="181"/>
              </w:numPr>
              <w:ind w:left="1422"/>
            </w:pPr>
            <w:r>
              <w:t>An individual or family who is fleeing, or is attempting to flee, domestic violence, dating violence, sexual assault, stalking, or other dangerous or life-threatening conditions that relate to violence and has no other residence; and lacks the resources or support networks, e.g., family, friends, faith-based or other social networks, to obtain other permanent housing.</w:t>
            </w:r>
          </w:p>
          <w:p w14:paraId="36099E9B" w14:textId="77777777" w:rsidR="00D52F78" w:rsidRDefault="00D52F78" w:rsidP="00535C31">
            <w:pPr>
              <w:ind w:left="360" w:firstLine="522"/>
              <w:rPr>
                <w:b/>
                <w:i/>
                <w:u w:val="single"/>
              </w:rPr>
            </w:pPr>
            <w:r>
              <w:rPr>
                <w:b/>
                <w:i/>
                <w:u w:val="single"/>
              </w:rPr>
              <w:t>Prioritizing</w:t>
            </w:r>
          </w:p>
          <w:p w14:paraId="2A16810B" w14:textId="77777777" w:rsidR="00D52F78" w:rsidRDefault="00D52F78" w:rsidP="00535C31">
            <w:pPr>
              <w:ind w:left="1062"/>
              <w:rPr>
                <w:rFonts w:ascii="Calibri" w:hAnsi="Calibri"/>
                <w:sz w:val="22"/>
                <w:szCs w:val="22"/>
              </w:rPr>
            </w:pPr>
            <w:r>
              <w:t>In keeping with best practices for this rural area, the Central Sierra Continuum of Care does not impose barriers to or limitations on eligibility for rental assistance other than verification that a household meets the definition of at-risk of homelessness or literally homeless. All clients must come through the Coordinated Entry Systems and be brought to the Housing Determination Committee to be eligible for services.</w:t>
            </w:r>
          </w:p>
        </w:tc>
      </w:tr>
    </w:tbl>
    <w:p w14:paraId="7B5090A6" w14:textId="77777777" w:rsidR="00D52F78" w:rsidRDefault="00D52F78" w:rsidP="00D52F78"/>
    <w:p w14:paraId="5CCA20FF" w14:textId="77777777" w:rsidR="00D52F78" w:rsidRDefault="00D52F78" w:rsidP="00D52F78"/>
    <w:p w14:paraId="5160B7AB" w14:textId="77777777" w:rsidR="00D52F78" w:rsidRDefault="00D52F78" w:rsidP="00D52F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826"/>
        <w:gridCol w:w="2952"/>
      </w:tblGrid>
      <w:tr w:rsidR="00D52F78" w14:paraId="08760130" w14:textId="77777777" w:rsidTr="00535C31">
        <w:tc>
          <w:tcPr>
            <w:tcW w:w="3078" w:type="dxa"/>
            <w:shd w:val="clear" w:color="auto" w:fill="auto"/>
          </w:tcPr>
          <w:p w14:paraId="0672FD95" w14:textId="77777777" w:rsidR="00D52F78" w:rsidRDefault="00D52F78" w:rsidP="00535C31">
            <w:r>
              <w:t xml:space="preserve">vii. SUBJECT: </w:t>
            </w:r>
          </w:p>
          <w:p w14:paraId="0476E42C" w14:textId="77777777" w:rsidR="00D52F78" w:rsidRDefault="00D52F78" w:rsidP="00535C31">
            <w:r>
              <w:t>Participant’s Share of Cost under ESG Homeless Prevention and Rapid Re-Housing</w:t>
            </w:r>
          </w:p>
        </w:tc>
        <w:tc>
          <w:tcPr>
            <w:tcW w:w="2826" w:type="dxa"/>
            <w:shd w:val="clear" w:color="auto" w:fill="auto"/>
          </w:tcPr>
          <w:p w14:paraId="601C1172" w14:textId="77777777" w:rsidR="00D52F78" w:rsidRDefault="00D52F78" w:rsidP="00535C31">
            <w:pPr>
              <w:jc w:val="center"/>
            </w:pPr>
            <w:r>
              <w:t>APPLICABLE TO:</w:t>
            </w:r>
          </w:p>
          <w:p w14:paraId="2FD63BB9" w14:textId="77777777" w:rsidR="00D52F78" w:rsidRDefault="00D52F78" w:rsidP="00535C31">
            <w:pPr>
              <w:jc w:val="center"/>
            </w:pPr>
            <w:r>
              <w:t>CSCoC Rental Assistance Assessment &amp; Intake</w:t>
            </w:r>
          </w:p>
          <w:p w14:paraId="48BE04F8" w14:textId="77777777" w:rsidR="00D52F78" w:rsidRDefault="00D52F78" w:rsidP="00535C31">
            <w:pPr>
              <w:jc w:val="center"/>
              <w:rPr>
                <w:b/>
              </w:rPr>
            </w:pPr>
          </w:p>
          <w:p w14:paraId="3CD172FD" w14:textId="77777777" w:rsidR="00D52F78" w:rsidRPr="0082004D" w:rsidRDefault="00D52F78" w:rsidP="00535C31">
            <w:pPr>
              <w:jc w:val="center"/>
              <w:rPr>
                <w:b/>
              </w:rPr>
            </w:pPr>
            <w:r w:rsidRPr="0016109C">
              <w:rPr>
                <w:b/>
                <w:sz w:val="30"/>
              </w:rPr>
              <w:t>Rapid Re-Housing</w:t>
            </w:r>
            <w:r>
              <w:rPr>
                <w:b/>
                <w:sz w:val="30"/>
              </w:rPr>
              <w:t xml:space="preserve"> &amp; Homeless Prevention</w:t>
            </w:r>
          </w:p>
        </w:tc>
        <w:tc>
          <w:tcPr>
            <w:tcW w:w="2952" w:type="dxa"/>
            <w:shd w:val="clear" w:color="auto" w:fill="auto"/>
          </w:tcPr>
          <w:p w14:paraId="4A352608" w14:textId="77777777" w:rsidR="00D52F78" w:rsidRDefault="00D52F78" w:rsidP="00535C31">
            <w:r>
              <w:t xml:space="preserve">ISSUED: </w:t>
            </w:r>
          </w:p>
          <w:p w14:paraId="7400DDBD" w14:textId="77777777" w:rsidR="00D52F78" w:rsidRDefault="00D52F78" w:rsidP="00535C31">
            <w:r>
              <w:t>June 2012</w:t>
            </w:r>
          </w:p>
          <w:p w14:paraId="60479DE2" w14:textId="77777777" w:rsidR="00D52F78" w:rsidRDefault="00D52F78" w:rsidP="00535C31">
            <w:r>
              <w:t>APPROVED CSCoC:</w:t>
            </w:r>
          </w:p>
          <w:p w14:paraId="3680DB9E" w14:textId="77777777" w:rsidR="00D52F78" w:rsidRDefault="00D52F78" w:rsidP="00535C31">
            <w:r>
              <w:t>Jan 2019</w:t>
            </w:r>
          </w:p>
        </w:tc>
      </w:tr>
    </w:tbl>
    <w:p w14:paraId="3218382C" w14:textId="77777777" w:rsidR="00D52F78" w:rsidRDefault="00D52F78" w:rsidP="00D52F78"/>
    <w:p w14:paraId="662FD07D" w14:textId="77777777" w:rsidR="00D52F78" w:rsidRDefault="00D52F78" w:rsidP="00D52F78">
      <w:pPr>
        <w:numPr>
          <w:ilvl w:val="0"/>
          <w:numId w:val="186"/>
        </w:numPr>
      </w:pPr>
      <w:r>
        <w:lastRenderedPageBreak/>
        <w:t xml:space="preserve">PURPOSE – to provide a formal policy framework and detailed instruction for determining participant’s share of costs, if any, prior to and while receiving housing financial assistance under Emergency Solutions Grant/CoC. </w:t>
      </w:r>
    </w:p>
    <w:p w14:paraId="535E49D0" w14:textId="77777777" w:rsidR="00D52F78" w:rsidRDefault="00D52F78" w:rsidP="00D52F78">
      <w:pPr>
        <w:ind w:left="540"/>
      </w:pPr>
    </w:p>
    <w:p w14:paraId="63429ACF" w14:textId="77777777" w:rsidR="00D52F78" w:rsidRDefault="00D52F78" w:rsidP="00D52F78">
      <w:pPr>
        <w:numPr>
          <w:ilvl w:val="0"/>
          <w:numId w:val="186"/>
        </w:numPr>
      </w:pPr>
      <w:r>
        <w:t>APPLICABILITY – this procedure applies to staff at the multi-site access hubs in Amador, Calaveras, Mariposa, and Tuolumne Counties, including ATCAA’s Sonora and Jackson Service Centers and Sierra Hope in Calaveras County, and HHS in Mariposa.</w:t>
      </w:r>
    </w:p>
    <w:p w14:paraId="0D39E6C5" w14:textId="77777777" w:rsidR="00D52F78" w:rsidRDefault="00D52F78" w:rsidP="00D52F78"/>
    <w:p w14:paraId="0156D8CE" w14:textId="77777777" w:rsidR="00D52F78" w:rsidRDefault="00D52F78" w:rsidP="00D52F78">
      <w:pPr>
        <w:numPr>
          <w:ilvl w:val="0"/>
          <w:numId w:val="186"/>
        </w:numPr>
      </w:pPr>
      <w:r>
        <w:t xml:space="preserve">FORMS  </w:t>
      </w:r>
    </w:p>
    <w:p w14:paraId="7BC80404" w14:textId="77777777" w:rsidR="00D52F78" w:rsidRDefault="00D52F78" w:rsidP="00D52F78">
      <w:pPr>
        <w:numPr>
          <w:ilvl w:val="1"/>
          <w:numId w:val="186"/>
        </w:numPr>
      </w:pPr>
      <w:r>
        <w:t xml:space="preserve">Assessment of Housing Status –CES </w:t>
      </w:r>
    </w:p>
    <w:p w14:paraId="434EFB99" w14:textId="77777777" w:rsidR="00D52F78" w:rsidRDefault="00D52F78" w:rsidP="00D52F78">
      <w:pPr>
        <w:numPr>
          <w:ilvl w:val="1"/>
          <w:numId w:val="186"/>
        </w:numPr>
      </w:pPr>
      <w:r>
        <w:t>Home Safe Intake &amp; Assessment packet</w:t>
      </w:r>
    </w:p>
    <w:p w14:paraId="48170269" w14:textId="77777777" w:rsidR="00D52F78" w:rsidRDefault="00D52F78" w:rsidP="00D52F78">
      <w:pPr>
        <w:numPr>
          <w:ilvl w:val="1"/>
          <w:numId w:val="186"/>
        </w:numPr>
      </w:pPr>
      <w:r>
        <w:t>HMIS data entry form (unless DV survivors)</w:t>
      </w:r>
    </w:p>
    <w:p w14:paraId="35C44A37" w14:textId="77777777" w:rsidR="00D52F78" w:rsidRDefault="00D52F78" w:rsidP="00D52F78"/>
    <w:p w14:paraId="465FF22D" w14:textId="77777777" w:rsidR="00D52F78" w:rsidRDefault="00D52F78" w:rsidP="00D52F78">
      <w:pPr>
        <w:numPr>
          <w:ilvl w:val="0"/>
          <w:numId w:val="186"/>
        </w:numPr>
      </w:pPr>
      <w:r>
        <w:t>RELATED PROCEDURES</w:t>
      </w:r>
    </w:p>
    <w:p w14:paraId="69DA8C26" w14:textId="77777777" w:rsidR="00D52F78" w:rsidRDefault="00D52F78" w:rsidP="00D52F78">
      <w:pPr>
        <w:numPr>
          <w:ilvl w:val="1"/>
          <w:numId w:val="186"/>
        </w:numPr>
      </w:pPr>
      <w:r>
        <w:t>Homeless Prevention policy</w:t>
      </w:r>
    </w:p>
    <w:p w14:paraId="003F8BEA" w14:textId="77777777" w:rsidR="00D52F78" w:rsidRDefault="00D52F78" w:rsidP="00D52F78">
      <w:pPr>
        <w:numPr>
          <w:ilvl w:val="1"/>
          <w:numId w:val="186"/>
        </w:numPr>
      </w:pPr>
      <w:r>
        <w:t>Rapid Re-Housing policy</w:t>
      </w:r>
    </w:p>
    <w:p w14:paraId="20E73806" w14:textId="77777777" w:rsidR="00D52F78" w:rsidRDefault="00D52F78" w:rsidP="00D52F78"/>
    <w:p w14:paraId="615CF181" w14:textId="77777777" w:rsidR="00D52F78" w:rsidRDefault="00D52F78" w:rsidP="00D52F78">
      <w:pPr>
        <w:numPr>
          <w:ilvl w:val="0"/>
          <w:numId w:val="186"/>
        </w:numPr>
      </w:pPr>
      <w:r>
        <w:t xml:space="preserve">INTRODUCTION – Financial assistance under Emergency Solutions Grant/CoC may include rent application fees, short-term and medium-term rent payments, rental security deposit, utility payments, utility deposits, moving costs and last month’s rent. Federal Regulations allow agencies to pay a portion of assistance with the participant paying the remaining portion. </w:t>
      </w:r>
    </w:p>
    <w:p w14:paraId="45A9DA59" w14:textId="77777777" w:rsidR="00D52F78" w:rsidRDefault="00D52F78" w:rsidP="00D52F78">
      <w:pPr>
        <w:ind w:left="720"/>
      </w:pPr>
    </w:p>
    <w:p w14:paraId="202A652C" w14:textId="77777777" w:rsidR="00D52F78" w:rsidRDefault="00D52F78" w:rsidP="00D52F78">
      <w:pPr>
        <w:numPr>
          <w:ilvl w:val="0"/>
          <w:numId w:val="186"/>
        </w:numPr>
      </w:pPr>
      <w:r>
        <w:t>DETAILED INSTRUCTIONS -- Based on applicant’s current housing status, recent housing history and eligibility for housing and/or services, and using HUD’s definitions of “homeless” and “at risk of homelessness,” intake staff should consider the following questions:</w:t>
      </w:r>
    </w:p>
    <w:p w14:paraId="1577FE7C" w14:textId="77777777" w:rsidR="00D52F78" w:rsidRDefault="00D52F78" w:rsidP="00D52F78">
      <w:pPr>
        <w:ind w:left="720"/>
      </w:pPr>
    </w:p>
    <w:p w14:paraId="376AA90C" w14:textId="77777777" w:rsidR="00D52F78" w:rsidRPr="008B525A" w:rsidRDefault="00D52F78" w:rsidP="00D52F78">
      <w:pPr>
        <w:numPr>
          <w:ilvl w:val="0"/>
          <w:numId w:val="184"/>
        </w:numPr>
        <w:tabs>
          <w:tab w:val="clear" w:pos="720"/>
          <w:tab w:val="num" w:pos="1440"/>
        </w:tabs>
        <w:ind w:left="1440" w:hanging="720"/>
        <w:outlineLvl w:val="0"/>
      </w:pPr>
      <w:r w:rsidRPr="008B525A">
        <w:t xml:space="preserve">What </w:t>
      </w:r>
      <w:r>
        <w:t>has made</w:t>
      </w:r>
      <w:r w:rsidRPr="008B525A">
        <w:t xml:space="preserve"> the household at risk of homelessness/has made this household homeless?</w:t>
      </w:r>
    </w:p>
    <w:p w14:paraId="11E40E93" w14:textId="77777777" w:rsidR="00D52F78" w:rsidRPr="008B525A" w:rsidRDefault="00D52F78" w:rsidP="00D52F78">
      <w:pPr>
        <w:numPr>
          <w:ilvl w:val="0"/>
          <w:numId w:val="184"/>
        </w:numPr>
        <w:ind w:firstLine="0"/>
        <w:outlineLvl w:val="0"/>
      </w:pPr>
      <w:r w:rsidRPr="008B525A">
        <w:t>How many adults in the household and how many children?</w:t>
      </w:r>
    </w:p>
    <w:p w14:paraId="750FCF60" w14:textId="77777777" w:rsidR="00D52F78" w:rsidRPr="008B525A" w:rsidRDefault="00D52F78" w:rsidP="00D52F78">
      <w:pPr>
        <w:numPr>
          <w:ilvl w:val="0"/>
          <w:numId w:val="184"/>
        </w:numPr>
        <w:tabs>
          <w:tab w:val="clear" w:pos="720"/>
          <w:tab w:val="num" w:pos="1440"/>
        </w:tabs>
        <w:ind w:left="1440" w:hanging="720"/>
        <w:outlineLvl w:val="0"/>
      </w:pPr>
      <w:r w:rsidRPr="008B525A">
        <w:t>What portion of the rent/security deposit/moving costs/utilities can the household afford and still pay all their other bills?</w:t>
      </w:r>
    </w:p>
    <w:p w14:paraId="7A939BFE" w14:textId="77777777" w:rsidR="00D52F78" w:rsidRPr="008B525A" w:rsidRDefault="00D52F78" w:rsidP="00D52F78">
      <w:pPr>
        <w:numPr>
          <w:ilvl w:val="0"/>
          <w:numId w:val="184"/>
        </w:numPr>
        <w:tabs>
          <w:tab w:val="clear" w:pos="720"/>
        </w:tabs>
        <w:ind w:left="1440" w:hanging="720"/>
        <w:outlineLvl w:val="0"/>
      </w:pPr>
      <w:r w:rsidRPr="008B525A">
        <w:t xml:space="preserve">What, besides financial assistance, does the household need to stabilize the housing? Is there a cost </w:t>
      </w:r>
      <w:r>
        <w:t>to the additional needs?</w:t>
      </w:r>
    </w:p>
    <w:p w14:paraId="0BD464E0" w14:textId="77777777" w:rsidR="00D52F78" w:rsidRPr="008B525A" w:rsidRDefault="00D52F78" w:rsidP="00D52F78">
      <w:pPr>
        <w:numPr>
          <w:ilvl w:val="0"/>
          <w:numId w:val="184"/>
        </w:numPr>
        <w:tabs>
          <w:tab w:val="clear" w:pos="720"/>
        </w:tabs>
        <w:ind w:left="1440" w:hanging="720"/>
        <w:outlineLvl w:val="0"/>
      </w:pPr>
      <w:r w:rsidRPr="008B525A">
        <w:t>What financial assistance will keep this household stabilized in housing?</w:t>
      </w:r>
    </w:p>
    <w:p w14:paraId="6E2E93C1" w14:textId="77777777" w:rsidR="00D52F78" w:rsidRDefault="00D52F78" w:rsidP="00D52F78">
      <w:pPr>
        <w:numPr>
          <w:ilvl w:val="0"/>
          <w:numId w:val="184"/>
        </w:numPr>
        <w:ind w:firstLine="0"/>
        <w:outlineLvl w:val="0"/>
      </w:pPr>
      <w:r w:rsidRPr="008B525A">
        <w:t xml:space="preserve">What housing stabilization actions does the </w:t>
      </w:r>
      <w:r>
        <w:t>intake worker</w:t>
      </w:r>
      <w:r w:rsidRPr="008B525A">
        <w:t xml:space="preserve"> recommend?</w:t>
      </w:r>
    </w:p>
    <w:p w14:paraId="0BE73DAA" w14:textId="77777777" w:rsidR="00D52F78" w:rsidRPr="008B525A" w:rsidRDefault="00D52F78" w:rsidP="00D52F78">
      <w:pPr>
        <w:numPr>
          <w:ilvl w:val="0"/>
          <w:numId w:val="184"/>
        </w:numPr>
        <w:ind w:firstLine="0"/>
        <w:outlineLvl w:val="0"/>
      </w:pPr>
      <w:r>
        <w:t>What is households total CES Score</w:t>
      </w:r>
    </w:p>
    <w:p w14:paraId="4135619F" w14:textId="77777777" w:rsidR="00D52F78" w:rsidRDefault="00D52F78" w:rsidP="00D52F78"/>
    <w:p w14:paraId="37EEF9D0" w14:textId="77777777" w:rsidR="00D52F78" w:rsidRDefault="00D52F78" w:rsidP="00D52F78"/>
    <w:p w14:paraId="65F26D5D" w14:textId="77777777" w:rsidR="00D52F78" w:rsidRDefault="00D52F78" w:rsidP="00D52F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826"/>
        <w:gridCol w:w="2952"/>
      </w:tblGrid>
      <w:tr w:rsidR="00D52F78" w14:paraId="209BCB67" w14:textId="77777777" w:rsidTr="00535C31">
        <w:tc>
          <w:tcPr>
            <w:tcW w:w="3078" w:type="dxa"/>
            <w:tcBorders>
              <w:top w:val="single" w:sz="4" w:space="0" w:color="auto"/>
              <w:left w:val="single" w:sz="4" w:space="0" w:color="auto"/>
              <w:bottom w:val="single" w:sz="4" w:space="0" w:color="auto"/>
              <w:right w:val="single" w:sz="4" w:space="0" w:color="auto"/>
            </w:tcBorders>
            <w:hideMark/>
          </w:tcPr>
          <w:p w14:paraId="205A6998" w14:textId="77777777" w:rsidR="00D52F78" w:rsidRDefault="00D52F78" w:rsidP="00535C31">
            <w:r>
              <w:lastRenderedPageBreak/>
              <w:t xml:space="preserve">viii. SUBJECT: </w:t>
            </w:r>
          </w:p>
          <w:p w14:paraId="4791B9C5" w14:textId="77777777" w:rsidR="00D52F78" w:rsidRDefault="00D52F78" w:rsidP="00535C31">
            <w:r>
              <w:t>Housing Assistance Duration and Adjustments</w:t>
            </w:r>
          </w:p>
        </w:tc>
        <w:tc>
          <w:tcPr>
            <w:tcW w:w="2826" w:type="dxa"/>
            <w:tcBorders>
              <w:top w:val="single" w:sz="4" w:space="0" w:color="auto"/>
              <w:left w:val="single" w:sz="4" w:space="0" w:color="auto"/>
              <w:bottom w:val="single" w:sz="4" w:space="0" w:color="auto"/>
              <w:right w:val="single" w:sz="4" w:space="0" w:color="auto"/>
            </w:tcBorders>
          </w:tcPr>
          <w:p w14:paraId="3C909455" w14:textId="77777777" w:rsidR="00D52F78" w:rsidRDefault="00D52F78" w:rsidP="00535C31">
            <w:pPr>
              <w:jc w:val="center"/>
            </w:pPr>
            <w:r>
              <w:t>APPLICABLE TO:</w:t>
            </w:r>
          </w:p>
          <w:p w14:paraId="11974B96" w14:textId="77777777" w:rsidR="00D52F78" w:rsidRDefault="00D52F78" w:rsidP="00535C31">
            <w:pPr>
              <w:jc w:val="center"/>
            </w:pPr>
            <w:r>
              <w:t>CSCoC rental assistance</w:t>
            </w:r>
          </w:p>
          <w:p w14:paraId="743B70A3" w14:textId="77777777" w:rsidR="00D52F78" w:rsidRDefault="00D52F78" w:rsidP="00535C31">
            <w:pPr>
              <w:jc w:val="center"/>
              <w:rPr>
                <w:b/>
                <w:sz w:val="30"/>
              </w:rPr>
            </w:pPr>
          </w:p>
          <w:p w14:paraId="275D116E" w14:textId="77777777" w:rsidR="00D52F78" w:rsidRDefault="00D52F78" w:rsidP="00535C31">
            <w:pPr>
              <w:jc w:val="center"/>
              <w:rPr>
                <w:b/>
              </w:rPr>
            </w:pPr>
            <w:r w:rsidRPr="0016109C">
              <w:rPr>
                <w:b/>
                <w:sz w:val="30"/>
              </w:rPr>
              <w:t>Rapid Re-Housing</w:t>
            </w:r>
            <w:r>
              <w:rPr>
                <w:b/>
                <w:sz w:val="30"/>
              </w:rPr>
              <w:t xml:space="preserve"> &amp; Homeless Prevention</w:t>
            </w:r>
          </w:p>
        </w:tc>
        <w:tc>
          <w:tcPr>
            <w:tcW w:w="2952" w:type="dxa"/>
            <w:tcBorders>
              <w:top w:val="single" w:sz="4" w:space="0" w:color="auto"/>
              <w:left w:val="single" w:sz="4" w:space="0" w:color="auto"/>
              <w:bottom w:val="single" w:sz="4" w:space="0" w:color="auto"/>
              <w:right w:val="single" w:sz="4" w:space="0" w:color="auto"/>
            </w:tcBorders>
            <w:hideMark/>
          </w:tcPr>
          <w:p w14:paraId="38727850" w14:textId="77777777" w:rsidR="00D52F78" w:rsidRDefault="00D52F78" w:rsidP="00535C31">
            <w:r>
              <w:t xml:space="preserve">ISSUED: </w:t>
            </w:r>
          </w:p>
          <w:p w14:paraId="1A7E5641" w14:textId="77777777" w:rsidR="00D52F78" w:rsidRDefault="00D52F78" w:rsidP="00535C31">
            <w:r>
              <w:t>June 2012</w:t>
            </w:r>
          </w:p>
          <w:p w14:paraId="7BBFB022" w14:textId="77777777" w:rsidR="00D52F78" w:rsidRDefault="00D52F78" w:rsidP="00535C31">
            <w:r>
              <w:t>CSCoC approved:</w:t>
            </w:r>
          </w:p>
          <w:p w14:paraId="03D51539" w14:textId="77777777" w:rsidR="00D52F78" w:rsidRDefault="00D52F78" w:rsidP="00535C31">
            <w:r>
              <w:t>Jan2019</w:t>
            </w:r>
          </w:p>
        </w:tc>
      </w:tr>
    </w:tbl>
    <w:p w14:paraId="13D701E4" w14:textId="77777777" w:rsidR="00D52F78" w:rsidRDefault="00D52F78" w:rsidP="00D52F78"/>
    <w:p w14:paraId="3A7048A4" w14:textId="77777777" w:rsidR="00D52F78" w:rsidRDefault="00D52F78" w:rsidP="00D52F78">
      <w:pPr>
        <w:numPr>
          <w:ilvl w:val="0"/>
          <w:numId w:val="182"/>
        </w:numPr>
      </w:pPr>
      <w:r>
        <w:t>PURPOSE – to provide a formal policy framework and detailed instruction for determining how many months a program participant will receive rental assistance and if and how the amount will be adjusted.</w:t>
      </w:r>
    </w:p>
    <w:p w14:paraId="009F99FE" w14:textId="77777777" w:rsidR="00D52F78" w:rsidRDefault="00D52F78" w:rsidP="00D52F78">
      <w:pPr>
        <w:ind w:left="540"/>
        <w:rPr>
          <w:sz w:val="16"/>
        </w:rPr>
      </w:pPr>
    </w:p>
    <w:p w14:paraId="05E353A8" w14:textId="77777777" w:rsidR="00D52F78" w:rsidRDefault="00D52F78" w:rsidP="00D52F78">
      <w:pPr>
        <w:numPr>
          <w:ilvl w:val="0"/>
          <w:numId w:val="182"/>
        </w:numPr>
      </w:pPr>
      <w:r>
        <w:t xml:space="preserve">APPLICABILITY – this procedure applies to Central Sierra Continuum of Care rental assistance providers under ESG/CoC in Amador, Calaveras, Mariposa and Tuolumne counties. </w:t>
      </w:r>
    </w:p>
    <w:p w14:paraId="7D0D1837" w14:textId="77777777" w:rsidR="00D52F78" w:rsidRDefault="00D52F78" w:rsidP="00D52F78">
      <w:pPr>
        <w:rPr>
          <w:sz w:val="16"/>
        </w:rPr>
      </w:pPr>
      <w:r>
        <w:t xml:space="preserve"> </w:t>
      </w:r>
    </w:p>
    <w:p w14:paraId="7A66E68D" w14:textId="77777777" w:rsidR="00D52F78" w:rsidRDefault="00D52F78" w:rsidP="00D52F78">
      <w:pPr>
        <w:numPr>
          <w:ilvl w:val="0"/>
          <w:numId w:val="182"/>
        </w:numPr>
      </w:pPr>
      <w:r>
        <w:t>FORMS</w:t>
      </w:r>
    </w:p>
    <w:p w14:paraId="58A7B7D1" w14:textId="77777777" w:rsidR="00D52F78" w:rsidRDefault="00D52F78" w:rsidP="00D52F78">
      <w:pPr>
        <w:numPr>
          <w:ilvl w:val="1"/>
          <w:numId w:val="182"/>
        </w:numPr>
      </w:pPr>
      <w:r>
        <w:t>Assessment of Housing Status-CES</w:t>
      </w:r>
    </w:p>
    <w:p w14:paraId="3543ABDC" w14:textId="77777777" w:rsidR="00D52F78" w:rsidRDefault="00D52F78" w:rsidP="00D52F78">
      <w:pPr>
        <w:numPr>
          <w:ilvl w:val="1"/>
          <w:numId w:val="182"/>
        </w:numPr>
      </w:pPr>
      <w:r>
        <w:t>Home Safe Intake &amp; Assessment packet</w:t>
      </w:r>
    </w:p>
    <w:p w14:paraId="0024F616" w14:textId="77777777" w:rsidR="00D52F78" w:rsidRDefault="00D52F78" w:rsidP="00D52F78">
      <w:pPr>
        <w:numPr>
          <w:ilvl w:val="1"/>
          <w:numId w:val="182"/>
        </w:numPr>
      </w:pPr>
      <w:r>
        <w:t>HMIS data entry form</w:t>
      </w:r>
    </w:p>
    <w:p w14:paraId="25015155" w14:textId="77777777" w:rsidR="00D52F78" w:rsidRDefault="00D52F78" w:rsidP="00D52F78">
      <w:pPr>
        <w:ind w:left="1440"/>
      </w:pPr>
    </w:p>
    <w:p w14:paraId="3E99EB38" w14:textId="77777777" w:rsidR="00D52F78" w:rsidRDefault="00D52F78" w:rsidP="00D52F78">
      <w:pPr>
        <w:rPr>
          <w:sz w:val="16"/>
        </w:rPr>
      </w:pPr>
    </w:p>
    <w:p w14:paraId="31E19431" w14:textId="77777777" w:rsidR="00D52F78" w:rsidRDefault="00D52F78" w:rsidP="00D52F78">
      <w:pPr>
        <w:numPr>
          <w:ilvl w:val="0"/>
          <w:numId w:val="182"/>
        </w:numPr>
      </w:pPr>
      <w:r>
        <w:t>RELATED PROCEDURES</w:t>
      </w:r>
    </w:p>
    <w:p w14:paraId="35FEF544" w14:textId="77777777" w:rsidR="00D52F78" w:rsidRDefault="00D52F78" w:rsidP="00D52F78">
      <w:pPr>
        <w:numPr>
          <w:ilvl w:val="1"/>
          <w:numId w:val="182"/>
        </w:numPr>
      </w:pPr>
      <w:r>
        <w:t>Homeless Prevention and Rapid Re-Housing guidelines</w:t>
      </w:r>
    </w:p>
    <w:p w14:paraId="111406E6" w14:textId="77777777" w:rsidR="00D52F78" w:rsidRDefault="00D52F78" w:rsidP="00D52F78">
      <w:pPr>
        <w:numPr>
          <w:ilvl w:val="1"/>
          <w:numId w:val="182"/>
        </w:numPr>
      </w:pPr>
      <w:r>
        <w:t>Housing Opportunities for Persons with AIDS</w:t>
      </w:r>
    </w:p>
    <w:p w14:paraId="48596D30" w14:textId="57C2A21C" w:rsidR="00D52F78" w:rsidRDefault="00D52F78" w:rsidP="00D52F78">
      <w:pPr>
        <w:numPr>
          <w:ilvl w:val="1"/>
          <w:numId w:val="182"/>
        </w:numPr>
      </w:pPr>
      <w:r>
        <w:t xml:space="preserve">DV </w:t>
      </w:r>
      <w:r>
        <w:t>Referral</w:t>
      </w:r>
      <w:r>
        <w:t>, Service connections</w:t>
      </w:r>
    </w:p>
    <w:p w14:paraId="29BE96CB" w14:textId="77777777" w:rsidR="00D52F78" w:rsidRDefault="00D52F78" w:rsidP="00D52F78">
      <w:pPr>
        <w:numPr>
          <w:ilvl w:val="1"/>
          <w:numId w:val="182"/>
        </w:numPr>
      </w:pPr>
      <w:r>
        <w:t>Housing Choice Voucher program</w:t>
      </w:r>
    </w:p>
    <w:p w14:paraId="0FABA0BF" w14:textId="77777777" w:rsidR="00D52F78" w:rsidRDefault="00D52F78" w:rsidP="00D52F78">
      <w:pPr>
        <w:numPr>
          <w:ilvl w:val="1"/>
          <w:numId w:val="182"/>
        </w:numPr>
      </w:pPr>
      <w:r>
        <w:t>Amador Housing Assistance program</w:t>
      </w:r>
    </w:p>
    <w:p w14:paraId="46427F4D" w14:textId="77777777" w:rsidR="00D52F78" w:rsidRDefault="00D52F78" w:rsidP="00D52F78">
      <w:pPr>
        <w:numPr>
          <w:ilvl w:val="1"/>
          <w:numId w:val="182"/>
        </w:numPr>
      </w:pPr>
      <w:r>
        <w:t>All Counties HSP, HA, Deposit Programs</w:t>
      </w:r>
    </w:p>
    <w:p w14:paraId="001A847E" w14:textId="77777777" w:rsidR="00D52F78" w:rsidRDefault="00D52F78" w:rsidP="00D52F78">
      <w:pPr>
        <w:numPr>
          <w:ilvl w:val="1"/>
          <w:numId w:val="182"/>
        </w:numPr>
      </w:pPr>
      <w:r>
        <w:t>Veterans, SSVF, GPD, HUD VASH</w:t>
      </w:r>
    </w:p>
    <w:p w14:paraId="14598F3F" w14:textId="77777777" w:rsidR="00D52F78" w:rsidRDefault="00D52F78" w:rsidP="00D52F78">
      <w:pPr>
        <w:numPr>
          <w:ilvl w:val="1"/>
          <w:numId w:val="182"/>
        </w:numPr>
      </w:pPr>
      <w:r>
        <w:t>Agencies’ Suspension or Denial of Services policies</w:t>
      </w:r>
    </w:p>
    <w:p w14:paraId="4AD92394" w14:textId="77777777" w:rsidR="00D52F78" w:rsidRDefault="00D52F78" w:rsidP="00D52F78">
      <w:pPr>
        <w:rPr>
          <w:sz w:val="16"/>
        </w:rPr>
      </w:pPr>
    </w:p>
    <w:p w14:paraId="0736B5C0" w14:textId="77777777" w:rsidR="00D52F78" w:rsidRDefault="00D52F78" w:rsidP="00D52F78">
      <w:pPr>
        <w:numPr>
          <w:ilvl w:val="0"/>
          <w:numId w:val="182"/>
        </w:numPr>
        <w:ind w:hanging="360"/>
      </w:pPr>
      <w:r>
        <w:t>INTRODUCTION – Data analysis of past practice with Homelessness Prevention and Rapid Re-Housing in the Central Sierra CoC did not reveal a correlation between longer-term assistance and housing stabilization. Nor did data analysis provide correlation between maximum rent payments versus declining or adjusted assistance. Therefore, current policy is limiting provision of financial assistance under ESG/CoC to no more than 12 months with a thorough reassessment in the middle of the 3</w:t>
      </w:r>
      <w:r>
        <w:rPr>
          <w:vertAlign w:val="superscript"/>
        </w:rPr>
        <w:t>rd</w:t>
      </w:r>
      <w:r>
        <w:t xml:space="preserve"> month. </w:t>
      </w:r>
    </w:p>
    <w:p w14:paraId="58E7294A" w14:textId="77777777" w:rsidR="00D52F78" w:rsidRDefault="00D52F78" w:rsidP="00D52F78">
      <w:pPr>
        <w:ind w:left="720"/>
        <w:rPr>
          <w:sz w:val="16"/>
        </w:rPr>
      </w:pPr>
    </w:p>
    <w:p w14:paraId="3727F1F8" w14:textId="77777777" w:rsidR="00D52F78" w:rsidRDefault="00D52F78" w:rsidP="00D52F78">
      <w:pPr>
        <w:numPr>
          <w:ilvl w:val="0"/>
          <w:numId w:val="182"/>
        </w:numPr>
      </w:pPr>
      <w:r>
        <w:t>DETAILED INSTRUCTIONS –</w:t>
      </w:r>
    </w:p>
    <w:p w14:paraId="127A9B20" w14:textId="77777777" w:rsidR="00D52F78" w:rsidRDefault="00D52F78" w:rsidP="00D52F78">
      <w:pPr>
        <w:ind w:left="1080"/>
        <w:rPr>
          <w:sz w:val="16"/>
          <w:szCs w:val="16"/>
          <w:u w:val="single"/>
        </w:rPr>
      </w:pPr>
    </w:p>
    <w:p w14:paraId="049DE0E9" w14:textId="77777777" w:rsidR="00D52F78" w:rsidRDefault="00D52F78" w:rsidP="00D52F78">
      <w:pPr>
        <w:ind w:left="900"/>
        <w:rPr>
          <w:u w:val="single"/>
        </w:rPr>
      </w:pPr>
      <w:r>
        <w:rPr>
          <w:u w:val="single"/>
        </w:rPr>
        <w:lastRenderedPageBreak/>
        <w:t>Length of Assistance</w:t>
      </w:r>
    </w:p>
    <w:p w14:paraId="37CA0CA8" w14:textId="77777777" w:rsidR="00D52F78" w:rsidRDefault="00D52F78" w:rsidP="00D52F78">
      <w:pPr>
        <w:pStyle w:val="ListParagraph"/>
        <w:ind w:left="1170"/>
      </w:pPr>
      <w:r>
        <w:t xml:space="preserve">Initial Participant Agreement is limited to 3 months with mandatory quarterly review for all households seeking additional financial help. Quarterly reviews may include income re-verification, home visit, discussion with landlord, financial </w:t>
      </w:r>
      <w:proofErr w:type="gramStart"/>
      <w:r>
        <w:t>goal-setting</w:t>
      </w:r>
      <w:proofErr w:type="gramEnd"/>
      <w:r>
        <w:t xml:space="preserve">, review of goals in Housing Stabilization Plan, referral to community resources and one-on-one housing counseling. </w:t>
      </w:r>
    </w:p>
    <w:p w14:paraId="5D5463D8" w14:textId="77777777" w:rsidR="00D52F78" w:rsidRDefault="00D52F78" w:rsidP="00D52F78">
      <w:pPr>
        <w:pStyle w:val="ListParagraph"/>
        <w:ind w:left="900"/>
        <w:rPr>
          <w:u w:val="single"/>
        </w:rPr>
      </w:pPr>
    </w:p>
    <w:p w14:paraId="09873502" w14:textId="77777777" w:rsidR="00D52F78" w:rsidRDefault="00D52F78" w:rsidP="00D52F78">
      <w:pPr>
        <w:pStyle w:val="ListParagraph"/>
        <w:ind w:left="900"/>
        <w:rPr>
          <w:u w:val="single"/>
        </w:rPr>
      </w:pPr>
      <w:r>
        <w:rPr>
          <w:u w:val="single"/>
        </w:rPr>
        <w:t>Extended Assistance</w:t>
      </w:r>
    </w:p>
    <w:p w14:paraId="2309318B" w14:textId="77777777" w:rsidR="00D52F78" w:rsidRDefault="00D52F78" w:rsidP="00D52F78">
      <w:pPr>
        <w:pStyle w:val="ListParagraph"/>
        <w:ind w:left="1170"/>
      </w:pPr>
      <w:r>
        <w:t>Continued or increased financial assistance may be recommended by rental assistance staff when circumstances show a continuing or increasing need</w:t>
      </w:r>
    </w:p>
    <w:p w14:paraId="32BE7498" w14:textId="77777777" w:rsidR="00D52F78" w:rsidRDefault="00D52F78" w:rsidP="00D52F78">
      <w:pPr>
        <w:pStyle w:val="ListParagraph"/>
        <w:ind w:left="1170"/>
      </w:pPr>
      <w:r>
        <w:t>and program participants demonstrate steps taken toward goals in the individualized Housing Stabilization plan. All recommendations for extended assistance will be reviewed by managerial or administrative staff. Under no circumstances may more than 24 months of assistance be provided during any 3-year period.</w:t>
      </w:r>
    </w:p>
    <w:p w14:paraId="4F8BAF8D" w14:textId="77777777" w:rsidR="00D52F78" w:rsidRDefault="00D52F78" w:rsidP="00D52F78">
      <w:pPr>
        <w:pStyle w:val="ListParagraph"/>
        <w:ind w:left="1080"/>
        <w:rPr>
          <w:sz w:val="16"/>
          <w:szCs w:val="16"/>
          <w:u w:val="single"/>
        </w:rPr>
      </w:pPr>
    </w:p>
    <w:p w14:paraId="3CDAA73D" w14:textId="77777777" w:rsidR="00D52F78" w:rsidRDefault="00D52F78" w:rsidP="00D52F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826"/>
        <w:gridCol w:w="2952"/>
      </w:tblGrid>
      <w:tr w:rsidR="00D52F78" w14:paraId="7E8CB5AE" w14:textId="77777777" w:rsidTr="00535C31">
        <w:tc>
          <w:tcPr>
            <w:tcW w:w="3078" w:type="dxa"/>
            <w:shd w:val="clear" w:color="auto" w:fill="auto"/>
          </w:tcPr>
          <w:p w14:paraId="2B4EA208" w14:textId="77777777" w:rsidR="00D52F78" w:rsidRDefault="00D52F78" w:rsidP="00535C31">
            <w:r>
              <w:t xml:space="preserve">ix. SUBJECT: </w:t>
            </w:r>
          </w:p>
          <w:p w14:paraId="02AAE2B4" w14:textId="77777777" w:rsidR="00D52F78" w:rsidRDefault="00D52F78" w:rsidP="00535C31">
            <w:r>
              <w:t>Type Assistance, Amount, Duration and Stabilization Services</w:t>
            </w:r>
          </w:p>
        </w:tc>
        <w:tc>
          <w:tcPr>
            <w:tcW w:w="2826" w:type="dxa"/>
            <w:shd w:val="clear" w:color="auto" w:fill="auto"/>
          </w:tcPr>
          <w:p w14:paraId="70C7C60A" w14:textId="77777777" w:rsidR="00D52F78" w:rsidRDefault="00D52F78" w:rsidP="00535C31">
            <w:pPr>
              <w:jc w:val="center"/>
            </w:pPr>
            <w:r>
              <w:t>APPLICABLE TO:</w:t>
            </w:r>
          </w:p>
          <w:p w14:paraId="3B0565BF" w14:textId="77777777" w:rsidR="00D52F78" w:rsidRDefault="00D52F78" w:rsidP="00535C31">
            <w:pPr>
              <w:jc w:val="center"/>
            </w:pPr>
            <w:r>
              <w:t>CSCoC rental assistance</w:t>
            </w:r>
          </w:p>
          <w:p w14:paraId="591D2162" w14:textId="77777777" w:rsidR="00D52F78" w:rsidRDefault="00D52F78" w:rsidP="00535C31">
            <w:pPr>
              <w:jc w:val="center"/>
            </w:pPr>
          </w:p>
          <w:p w14:paraId="4D969401" w14:textId="77777777" w:rsidR="00D52F78" w:rsidRPr="00421D84" w:rsidRDefault="00D52F78" w:rsidP="00535C31">
            <w:pPr>
              <w:jc w:val="center"/>
              <w:rPr>
                <w:b/>
              </w:rPr>
            </w:pPr>
            <w:r w:rsidRPr="0016109C">
              <w:rPr>
                <w:b/>
                <w:sz w:val="30"/>
              </w:rPr>
              <w:t>Rapid Re-Housing</w:t>
            </w:r>
            <w:r>
              <w:rPr>
                <w:b/>
                <w:sz w:val="30"/>
              </w:rPr>
              <w:t xml:space="preserve"> &amp; Homeless Prevention</w:t>
            </w:r>
          </w:p>
        </w:tc>
        <w:tc>
          <w:tcPr>
            <w:tcW w:w="2952" w:type="dxa"/>
            <w:shd w:val="clear" w:color="auto" w:fill="auto"/>
          </w:tcPr>
          <w:p w14:paraId="24B8B751" w14:textId="77777777" w:rsidR="00D52F78" w:rsidRDefault="00D52F78" w:rsidP="00535C31">
            <w:r>
              <w:t xml:space="preserve">ISSUED: </w:t>
            </w:r>
          </w:p>
          <w:p w14:paraId="5D5D66CE" w14:textId="77777777" w:rsidR="00D52F78" w:rsidRDefault="00D52F78" w:rsidP="00535C31">
            <w:r>
              <w:t>June 2012</w:t>
            </w:r>
          </w:p>
          <w:p w14:paraId="633DD882" w14:textId="77777777" w:rsidR="00D52F78" w:rsidRDefault="00D52F78" w:rsidP="00535C31">
            <w:r>
              <w:t>APPROVED CSCoC:</w:t>
            </w:r>
          </w:p>
          <w:p w14:paraId="56A7CDBD" w14:textId="77777777" w:rsidR="00D52F78" w:rsidRDefault="00D52F78" w:rsidP="00535C31">
            <w:r>
              <w:t>Jan 2019</w:t>
            </w:r>
          </w:p>
        </w:tc>
      </w:tr>
    </w:tbl>
    <w:p w14:paraId="7722D53C" w14:textId="77777777" w:rsidR="00D52F78" w:rsidRDefault="00D52F78" w:rsidP="00D52F78"/>
    <w:p w14:paraId="0E5B56E9" w14:textId="77777777" w:rsidR="00D52F78" w:rsidRDefault="00D52F78" w:rsidP="00D52F78">
      <w:pPr>
        <w:numPr>
          <w:ilvl w:val="0"/>
          <w:numId w:val="187"/>
        </w:numPr>
      </w:pPr>
      <w:r>
        <w:t>PURPOSE – to provide a formal policy framework and detailed instruction for determining the type, amount and duration of housing relocation and stabilization services a program participant will receive with Homeless Prevent and Rapid Re-Housing under ESG/CoC, including limits on the maximum assistance, maximum length of assistance and maximum number of times a participant may receive assistance.</w:t>
      </w:r>
    </w:p>
    <w:p w14:paraId="6121E2B6" w14:textId="77777777" w:rsidR="00D52F78" w:rsidRDefault="00D52F78" w:rsidP="00D52F78">
      <w:pPr>
        <w:ind w:left="540"/>
      </w:pPr>
    </w:p>
    <w:p w14:paraId="6C03578D" w14:textId="77777777" w:rsidR="00D52F78" w:rsidRDefault="00D52F78" w:rsidP="00D52F78">
      <w:pPr>
        <w:numPr>
          <w:ilvl w:val="0"/>
          <w:numId w:val="187"/>
        </w:numPr>
      </w:pPr>
      <w:r>
        <w:t xml:space="preserve">APPLICABILITY – this procedure applies to Central Sierra Continuum of Care rental assistance providers under ESG/CoC in Amador, Calaveras, Mariposa, and Tuolumne counties. </w:t>
      </w:r>
    </w:p>
    <w:p w14:paraId="5742AA97" w14:textId="77777777" w:rsidR="00D52F78" w:rsidRDefault="00D52F78" w:rsidP="00D52F78">
      <w:r>
        <w:t xml:space="preserve"> </w:t>
      </w:r>
    </w:p>
    <w:p w14:paraId="33975220" w14:textId="77777777" w:rsidR="00D52F78" w:rsidRDefault="00D52F78" w:rsidP="00D52F78"/>
    <w:p w14:paraId="4F366559" w14:textId="77777777" w:rsidR="00D52F78" w:rsidRDefault="00D52F78" w:rsidP="00D52F78"/>
    <w:p w14:paraId="74DAEB5C" w14:textId="77777777" w:rsidR="00D52F78" w:rsidRDefault="00D52F78" w:rsidP="00D52F78">
      <w:pPr>
        <w:numPr>
          <w:ilvl w:val="0"/>
          <w:numId w:val="187"/>
        </w:numPr>
      </w:pPr>
      <w:r>
        <w:t>FORMS</w:t>
      </w:r>
    </w:p>
    <w:p w14:paraId="0D841512" w14:textId="77777777" w:rsidR="00D52F78" w:rsidRDefault="00D52F78" w:rsidP="00D52F78">
      <w:pPr>
        <w:numPr>
          <w:ilvl w:val="1"/>
          <w:numId w:val="187"/>
        </w:numPr>
      </w:pPr>
      <w:r>
        <w:t>Assessment of Housing Status-CES</w:t>
      </w:r>
    </w:p>
    <w:p w14:paraId="1F2915B4" w14:textId="77777777" w:rsidR="00D52F78" w:rsidRDefault="00D52F78" w:rsidP="00D52F78">
      <w:pPr>
        <w:numPr>
          <w:ilvl w:val="1"/>
          <w:numId w:val="187"/>
        </w:numPr>
      </w:pPr>
      <w:r>
        <w:t>Home Safe Intake &amp; Assessment packet</w:t>
      </w:r>
    </w:p>
    <w:p w14:paraId="06325CC8" w14:textId="77777777" w:rsidR="00D52F78" w:rsidRDefault="00D52F78" w:rsidP="00D52F78">
      <w:pPr>
        <w:numPr>
          <w:ilvl w:val="1"/>
          <w:numId w:val="187"/>
        </w:numPr>
      </w:pPr>
      <w:r>
        <w:t>HMIS data entry form</w:t>
      </w:r>
    </w:p>
    <w:p w14:paraId="551E1595" w14:textId="77777777" w:rsidR="00D52F78" w:rsidRDefault="00D52F78" w:rsidP="00D52F78"/>
    <w:p w14:paraId="7E2EE66B" w14:textId="77777777" w:rsidR="00D52F78" w:rsidRDefault="00D52F78" w:rsidP="00D52F78">
      <w:pPr>
        <w:numPr>
          <w:ilvl w:val="0"/>
          <w:numId w:val="187"/>
        </w:numPr>
      </w:pPr>
      <w:r>
        <w:t>RELATED PROCEDURES</w:t>
      </w:r>
    </w:p>
    <w:p w14:paraId="684A8949" w14:textId="77777777" w:rsidR="00D52F78" w:rsidRDefault="00D52F78" w:rsidP="00D52F78">
      <w:pPr>
        <w:numPr>
          <w:ilvl w:val="1"/>
          <w:numId w:val="187"/>
        </w:numPr>
      </w:pPr>
      <w:r>
        <w:t>Homeless Prevention and Rapid Re-Housing guidelines</w:t>
      </w:r>
    </w:p>
    <w:p w14:paraId="0E819D73" w14:textId="77777777" w:rsidR="00D52F78" w:rsidRDefault="00D52F78" w:rsidP="00D52F78">
      <w:pPr>
        <w:numPr>
          <w:ilvl w:val="1"/>
          <w:numId w:val="187"/>
        </w:numPr>
      </w:pPr>
      <w:r>
        <w:t>Housing Opportunities for Persons with AIDS</w:t>
      </w:r>
    </w:p>
    <w:p w14:paraId="1D81F5C8" w14:textId="77777777" w:rsidR="00D52F78" w:rsidRDefault="00D52F78" w:rsidP="00D52F78">
      <w:pPr>
        <w:numPr>
          <w:ilvl w:val="1"/>
          <w:numId w:val="187"/>
        </w:numPr>
      </w:pPr>
      <w:r>
        <w:t>DV Referral, service connections</w:t>
      </w:r>
    </w:p>
    <w:p w14:paraId="1DBECB8E" w14:textId="77777777" w:rsidR="00D52F78" w:rsidRDefault="00D52F78" w:rsidP="00D52F78">
      <w:pPr>
        <w:numPr>
          <w:ilvl w:val="1"/>
          <w:numId w:val="187"/>
        </w:numPr>
      </w:pPr>
      <w:r>
        <w:t>Housing Choice Voucher program</w:t>
      </w:r>
    </w:p>
    <w:p w14:paraId="3B93CE85" w14:textId="77777777" w:rsidR="00D52F78" w:rsidRDefault="00D52F78" w:rsidP="00D52F78">
      <w:pPr>
        <w:numPr>
          <w:ilvl w:val="1"/>
          <w:numId w:val="187"/>
        </w:numPr>
      </w:pPr>
      <w:r>
        <w:t>Amador Housing Assistance program</w:t>
      </w:r>
    </w:p>
    <w:p w14:paraId="3066862E" w14:textId="77777777" w:rsidR="00D52F78" w:rsidRDefault="00D52F78" w:rsidP="00D52F78">
      <w:pPr>
        <w:numPr>
          <w:ilvl w:val="1"/>
          <w:numId w:val="187"/>
        </w:numPr>
      </w:pPr>
      <w:r>
        <w:t xml:space="preserve">All Counties </w:t>
      </w:r>
      <w:proofErr w:type="spellStart"/>
      <w:r>
        <w:t>CalWorks</w:t>
      </w:r>
      <w:proofErr w:type="spellEnd"/>
      <w:r>
        <w:t xml:space="preserve"> HSP, HA, Deposit Programs</w:t>
      </w:r>
    </w:p>
    <w:p w14:paraId="68365F96" w14:textId="77777777" w:rsidR="00D52F78" w:rsidRDefault="00D52F78" w:rsidP="00D52F78">
      <w:pPr>
        <w:numPr>
          <w:ilvl w:val="1"/>
          <w:numId w:val="187"/>
        </w:numPr>
      </w:pPr>
      <w:r>
        <w:t>Tuolumne County Tenant-Based Rental Assistance program</w:t>
      </w:r>
    </w:p>
    <w:p w14:paraId="08FDE546" w14:textId="77777777" w:rsidR="00D52F78" w:rsidRDefault="00D52F78" w:rsidP="00D52F78">
      <w:pPr>
        <w:numPr>
          <w:ilvl w:val="1"/>
          <w:numId w:val="187"/>
        </w:numPr>
      </w:pPr>
      <w:r>
        <w:t>Agencies’ Suspension or Denial of Services policies</w:t>
      </w:r>
    </w:p>
    <w:p w14:paraId="0F515180" w14:textId="77777777" w:rsidR="00D52F78" w:rsidRDefault="00D52F78" w:rsidP="00D52F78"/>
    <w:p w14:paraId="3DB04F47" w14:textId="77777777" w:rsidR="00D52F78" w:rsidRDefault="00D52F78" w:rsidP="00D52F78">
      <w:pPr>
        <w:numPr>
          <w:ilvl w:val="0"/>
          <w:numId w:val="187"/>
        </w:numPr>
        <w:ind w:hanging="360"/>
      </w:pPr>
      <w:r>
        <w:t>INTRODUCTION – Data analysis of past practice with Homelessness Prevention and Rapid Re-Housing in the Central Sierra CoC did not reveal a correlation between length and intensity of housing relocation and stabilization services and the individual or family’s stabilization. Therefore, current policy is limiting provision of stabilization services under ESG to no more than 6 months with a thorough reassessment in the middle of the 3</w:t>
      </w:r>
      <w:r w:rsidRPr="00763C5D">
        <w:rPr>
          <w:vertAlign w:val="superscript"/>
        </w:rPr>
        <w:t>rd</w:t>
      </w:r>
      <w:r>
        <w:t xml:space="preserve"> month. </w:t>
      </w:r>
    </w:p>
    <w:p w14:paraId="2FDE1DFA" w14:textId="77777777" w:rsidR="00D52F78" w:rsidRDefault="00D52F78" w:rsidP="00D52F78">
      <w:pPr>
        <w:ind w:left="720"/>
      </w:pPr>
    </w:p>
    <w:p w14:paraId="7730C8B9" w14:textId="77777777" w:rsidR="00D52F78" w:rsidRDefault="00D52F78" w:rsidP="00D52F78">
      <w:pPr>
        <w:numPr>
          <w:ilvl w:val="0"/>
          <w:numId w:val="187"/>
        </w:numPr>
      </w:pPr>
      <w:r w:rsidRPr="000B15E7">
        <w:t xml:space="preserve">DETAILED INSTRUCTIONS – </w:t>
      </w:r>
      <w:r>
        <w:t xml:space="preserve">may be individualized to include </w:t>
      </w:r>
      <w:r w:rsidRPr="000B15E7">
        <w:t>the following:</w:t>
      </w:r>
    </w:p>
    <w:p w14:paraId="2591574C" w14:textId="77777777" w:rsidR="00D52F78" w:rsidRPr="002723A4" w:rsidRDefault="00D52F78" w:rsidP="00D52F78">
      <w:pPr>
        <w:ind w:left="1080"/>
        <w:rPr>
          <w:sz w:val="16"/>
          <w:szCs w:val="16"/>
          <w:u w:val="single"/>
        </w:rPr>
      </w:pPr>
    </w:p>
    <w:p w14:paraId="53CEBC46" w14:textId="77777777" w:rsidR="00D52F78" w:rsidRPr="00A21F6D" w:rsidRDefault="00D52F78" w:rsidP="00D52F78">
      <w:pPr>
        <w:ind w:left="1080"/>
      </w:pPr>
      <w:r w:rsidRPr="00A21F6D">
        <w:t>Housing Stabilization Services</w:t>
      </w:r>
    </w:p>
    <w:p w14:paraId="3D19B614" w14:textId="77777777" w:rsidR="00D52F78" w:rsidRDefault="00D52F78" w:rsidP="00D52F78">
      <w:pPr>
        <w:ind w:left="1080"/>
      </w:pPr>
      <w:r>
        <w:t>Housing search</w:t>
      </w:r>
    </w:p>
    <w:p w14:paraId="1E6ADF48" w14:textId="77777777" w:rsidR="00D52F78" w:rsidRDefault="00D52F78" w:rsidP="00D52F78">
      <w:pPr>
        <w:ind w:left="1080"/>
      </w:pPr>
      <w:r>
        <w:t>Assistance with rental application</w:t>
      </w:r>
    </w:p>
    <w:p w14:paraId="0504819C" w14:textId="77777777" w:rsidR="00D52F78" w:rsidRDefault="00D52F78" w:rsidP="00D52F78">
      <w:pPr>
        <w:ind w:left="1080"/>
      </w:pPr>
      <w:r>
        <w:t>Negotiating with landlords</w:t>
      </w:r>
    </w:p>
    <w:p w14:paraId="18ECF6D8" w14:textId="77777777" w:rsidR="00D52F78" w:rsidRDefault="00D52F78" w:rsidP="00D52F78">
      <w:pPr>
        <w:ind w:left="1080"/>
      </w:pPr>
      <w:r>
        <w:t>Help understand leases</w:t>
      </w:r>
    </w:p>
    <w:p w14:paraId="55C686A6" w14:textId="77777777" w:rsidR="00D52F78" w:rsidRDefault="00D52F78" w:rsidP="00D52F78">
      <w:pPr>
        <w:ind w:left="1080"/>
      </w:pPr>
      <w:r>
        <w:t>Arranging and coordinating services from other agencies</w:t>
      </w:r>
    </w:p>
    <w:p w14:paraId="3C286167" w14:textId="77777777" w:rsidR="00D52F78" w:rsidRDefault="00D52F78" w:rsidP="00D52F78">
      <w:pPr>
        <w:ind w:left="1080"/>
      </w:pPr>
      <w:r>
        <w:t>Assistance with applications for and access to local, state and federal benefits</w:t>
      </w:r>
    </w:p>
    <w:p w14:paraId="742D70C0" w14:textId="77777777" w:rsidR="00D52F78" w:rsidRDefault="00D52F78" w:rsidP="00D52F78">
      <w:pPr>
        <w:ind w:left="1080"/>
      </w:pPr>
      <w:r>
        <w:t>Moving costs</w:t>
      </w:r>
    </w:p>
    <w:p w14:paraId="0E4B68C5" w14:textId="77777777" w:rsidR="00D52F78" w:rsidRDefault="00D52F78" w:rsidP="00D52F78">
      <w:pPr>
        <w:ind w:left="1080"/>
      </w:pPr>
      <w:r>
        <w:t>Security deposits, utility deposits</w:t>
      </w:r>
    </w:p>
    <w:p w14:paraId="7DFEFA25" w14:textId="77777777" w:rsidR="00D52F78" w:rsidRDefault="00D52F78" w:rsidP="00D52F78">
      <w:pPr>
        <w:ind w:left="1080"/>
      </w:pPr>
      <w:r>
        <w:t>Utility payments</w:t>
      </w:r>
    </w:p>
    <w:p w14:paraId="39CF6091" w14:textId="77777777" w:rsidR="00D52F78" w:rsidRDefault="00D52F78" w:rsidP="00D52F78">
      <w:pPr>
        <w:ind w:left="1080"/>
      </w:pPr>
      <w:r>
        <w:t>Credit repair counseling</w:t>
      </w:r>
    </w:p>
    <w:p w14:paraId="63B86FB8" w14:textId="77777777" w:rsidR="00D52F78" w:rsidRDefault="00D52F78" w:rsidP="00D52F78">
      <w:pPr>
        <w:ind w:left="1080"/>
      </w:pPr>
      <w:r>
        <w:t>Legal services</w:t>
      </w:r>
    </w:p>
    <w:p w14:paraId="35A2C5E7" w14:textId="77777777" w:rsidR="00D52F78" w:rsidRPr="009B0586" w:rsidRDefault="00D52F78" w:rsidP="00D52F78">
      <w:pPr>
        <w:ind w:left="1080"/>
      </w:pPr>
    </w:p>
    <w:p w14:paraId="408F0383" w14:textId="77777777" w:rsidR="00D52F78" w:rsidRPr="000B15E7" w:rsidRDefault="00D52F78" w:rsidP="00D52F78">
      <w:pPr>
        <w:pStyle w:val="ListParagraph"/>
      </w:pPr>
      <w:r>
        <w:t xml:space="preserve">To be determined: </w:t>
      </w:r>
      <w:r w:rsidRPr="000B15E7">
        <w:t xml:space="preserve">May be provided for </w:t>
      </w:r>
      <w:r w:rsidRPr="000B15E7">
        <w:rPr>
          <w:u w:val="single"/>
        </w:rPr>
        <w:t>3</w:t>
      </w:r>
      <w:r>
        <w:rPr>
          <w:u w:val="single"/>
        </w:rPr>
        <w:t>-6</w:t>
      </w:r>
      <w:r w:rsidRPr="000B15E7">
        <w:rPr>
          <w:u w:val="single"/>
        </w:rPr>
        <w:t xml:space="preserve"> months</w:t>
      </w:r>
      <w:r w:rsidRPr="000B15E7">
        <w:t xml:space="preserve"> and additional </w:t>
      </w:r>
      <w:r>
        <w:t>assistance may be provided if there is continuing or increasing need</w:t>
      </w:r>
      <w:r w:rsidRPr="000B15E7">
        <w:t xml:space="preserve"> and program participant demonstrates </w:t>
      </w:r>
      <w:r>
        <w:t xml:space="preserve">efforts at </w:t>
      </w:r>
      <w:r w:rsidRPr="000B15E7">
        <w:t xml:space="preserve">adherence to individualized plan. </w:t>
      </w:r>
    </w:p>
    <w:p w14:paraId="49869533" w14:textId="77777777" w:rsidR="00D52F78" w:rsidRDefault="00D52F78" w:rsidP="00D52F78"/>
    <w:p w14:paraId="4B16B2D9" w14:textId="77777777" w:rsidR="00D52F78" w:rsidRDefault="00D52F78" w:rsidP="00D52F78"/>
    <w:p w14:paraId="40D80932" w14:textId="77777777" w:rsidR="00D52F78" w:rsidRDefault="00D52F78" w:rsidP="00D52F78"/>
    <w:p w14:paraId="3AE59F40" w14:textId="77777777" w:rsidR="00D52F78" w:rsidRDefault="00D52F78" w:rsidP="00D52F78"/>
    <w:p w14:paraId="161B3D29" w14:textId="77777777" w:rsidR="00D52F78" w:rsidRDefault="00D52F78" w:rsidP="00D52F78"/>
    <w:p w14:paraId="2E05F861" w14:textId="77777777" w:rsidR="00D52F78" w:rsidRDefault="00D52F78" w:rsidP="00D52F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826"/>
        <w:gridCol w:w="2952"/>
      </w:tblGrid>
      <w:tr w:rsidR="00D52F78" w14:paraId="06E573E8" w14:textId="77777777" w:rsidTr="00535C31">
        <w:tc>
          <w:tcPr>
            <w:tcW w:w="3078" w:type="dxa"/>
            <w:tcBorders>
              <w:top w:val="single" w:sz="4" w:space="0" w:color="auto"/>
              <w:left w:val="single" w:sz="4" w:space="0" w:color="auto"/>
              <w:bottom w:val="single" w:sz="4" w:space="0" w:color="auto"/>
              <w:right w:val="single" w:sz="4" w:space="0" w:color="auto"/>
            </w:tcBorders>
            <w:hideMark/>
          </w:tcPr>
          <w:p w14:paraId="36167AB4" w14:textId="77777777" w:rsidR="00D52F78" w:rsidRDefault="00D52F78" w:rsidP="00535C31">
            <w:r>
              <w:t xml:space="preserve">SUBJECT: </w:t>
            </w:r>
          </w:p>
          <w:p w14:paraId="176E2096" w14:textId="77777777" w:rsidR="00D52F78" w:rsidRDefault="00D52F78" w:rsidP="00535C31">
            <w:r>
              <w:t>x. Participation in HMIS</w:t>
            </w:r>
          </w:p>
        </w:tc>
        <w:tc>
          <w:tcPr>
            <w:tcW w:w="2826" w:type="dxa"/>
            <w:tcBorders>
              <w:top w:val="single" w:sz="4" w:space="0" w:color="auto"/>
              <w:left w:val="single" w:sz="4" w:space="0" w:color="auto"/>
              <w:bottom w:val="single" w:sz="4" w:space="0" w:color="auto"/>
              <w:right w:val="single" w:sz="4" w:space="0" w:color="auto"/>
            </w:tcBorders>
          </w:tcPr>
          <w:p w14:paraId="76E4E21F" w14:textId="77777777" w:rsidR="00D52F78" w:rsidRDefault="00D52F78" w:rsidP="00535C31">
            <w:pPr>
              <w:jc w:val="center"/>
            </w:pPr>
            <w:r>
              <w:t>APPLICABLE TO:</w:t>
            </w:r>
          </w:p>
          <w:p w14:paraId="45C3B1FA" w14:textId="77777777" w:rsidR="00D52F78" w:rsidRDefault="00D52F78" w:rsidP="00535C31">
            <w:pPr>
              <w:jc w:val="center"/>
            </w:pPr>
            <w:r>
              <w:t>CSCoC rental assistance</w:t>
            </w:r>
          </w:p>
          <w:p w14:paraId="7F8FA141" w14:textId="77777777" w:rsidR="00D52F78" w:rsidRDefault="00D52F78" w:rsidP="00535C31">
            <w:pPr>
              <w:jc w:val="center"/>
            </w:pPr>
          </w:p>
          <w:p w14:paraId="442A27DC" w14:textId="77777777" w:rsidR="00D52F78" w:rsidRDefault="00D52F78" w:rsidP="00535C31">
            <w:pPr>
              <w:jc w:val="center"/>
              <w:rPr>
                <w:b/>
              </w:rPr>
            </w:pPr>
            <w:r w:rsidRPr="0016109C">
              <w:rPr>
                <w:b/>
                <w:sz w:val="30"/>
              </w:rPr>
              <w:t>Rapid Re-Housing</w:t>
            </w:r>
            <w:r>
              <w:rPr>
                <w:b/>
                <w:sz w:val="30"/>
              </w:rPr>
              <w:t xml:space="preserve"> &amp; Homeless Prevention</w:t>
            </w:r>
          </w:p>
        </w:tc>
        <w:tc>
          <w:tcPr>
            <w:tcW w:w="2952" w:type="dxa"/>
            <w:tcBorders>
              <w:top w:val="single" w:sz="4" w:space="0" w:color="auto"/>
              <w:left w:val="single" w:sz="4" w:space="0" w:color="auto"/>
              <w:bottom w:val="single" w:sz="4" w:space="0" w:color="auto"/>
              <w:right w:val="single" w:sz="4" w:space="0" w:color="auto"/>
            </w:tcBorders>
            <w:hideMark/>
          </w:tcPr>
          <w:p w14:paraId="2047F678" w14:textId="77777777" w:rsidR="00D52F78" w:rsidRDefault="00D52F78" w:rsidP="00535C31">
            <w:r>
              <w:t xml:space="preserve">ISSUED: </w:t>
            </w:r>
          </w:p>
          <w:p w14:paraId="03C72161" w14:textId="77777777" w:rsidR="00D52F78" w:rsidRDefault="00D52F78" w:rsidP="00535C31">
            <w:r>
              <w:t>June 2014</w:t>
            </w:r>
          </w:p>
          <w:p w14:paraId="09583A2B" w14:textId="77777777" w:rsidR="00D52F78" w:rsidRDefault="00D52F78" w:rsidP="00535C31">
            <w:r>
              <w:t>CSCoC APPROVED:</w:t>
            </w:r>
          </w:p>
          <w:p w14:paraId="18BC3261" w14:textId="77777777" w:rsidR="00D52F78" w:rsidRDefault="00D52F78" w:rsidP="00535C31">
            <w:r>
              <w:t>Jan 2019</w:t>
            </w:r>
          </w:p>
        </w:tc>
      </w:tr>
    </w:tbl>
    <w:p w14:paraId="2B9C3564" w14:textId="77777777" w:rsidR="00D52F78" w:rsidRDefault="00D52F78" w:rsidP="00D52F78"/>
    <w:p w14:paraId="22B91A51" w14:textId="77777777" w:rsidR="00D52F78" w:rsidRDefault="00D52F78" w:rsidP="00D52F78">
      <w:pPr>
        <w:numPr>
          <w:ilvl w:val="0"/>
          <w:numId w:val="188"/>
        </w:numPr>
      </w:pPr>
      <w:r>
        <w:t xml:space="preserve">PURPOSE – to provide a formal policy framework and detailed instruction for participation in the Central Sierra CoC’s Homeless Management Information System by agencies providing Homeless Prevention, Rapid Re-Housing and Housing Relocation and Stabilization Services under ESG </w:t>
      </w:r>
    </w:p>
    <w:p w14:paraId="323358DD" w14:textId="77777777" w:rsidR="00D52F78" w:rsidRDefault="00D52F78" w:rsidP="00D52F78">
      <w:pPr>
        <w:ind w:left="360"/>
      </w:pPr>
    </w:p>
    <w:p w14:paraId="76E4DC0A" w14:textId="77777777" w:rsidR="00D52F78" w:rsidRDefault="00D52F78" w:rsidP="00D52F78">
      <w:pPr>
        <w:numPr>
          <w:ilvl w:val="0"/>
          <w:numId w:val="188"/>
        </w:numPr>
      </w:pPr>
      <w:r>
        <w:t xml:space="preserve">APPLICABILITY – this procedure applies to Central Sierra Continuum of Care rental assistance providers under ESG in Amador, Calaveras and Tuolumne counties. </w:t>
      </w:r>
    </w:p>
    <w:p w14:paraId="44DA6FF5" w14:textId="77777777" w:rsidR="00D52F78" w:rsidRDefault="00D52F78" w:rsidP="00D52F78">
      <w:r>
        <w:t xml:space="preserve"> </w:t>
      </w:r>
    </w:p>
    <w:p w14:paraId="0B05DB74" w14:textId="77777777" w:rsidR="00D52F78" w:rsidRDefault="00D52F78" w:rsidP="00D52F78">
      <w:pPr>
        <w:numPr>
          <w:ilvl w:val="0"/>
          <w:numId w:val="188"/>
        </w:numPr>
      </w:pPr>
      <w:r>
        <w:t>FORMS</w:t>
      </w:r>
    </w:p>
    <w:p w14:paraId="7AC0B59F" w14:textId="77777777" w:rsidR="00D52F78" w:rsidRDefault="00D52F78" w:rsidP="00D52F78">
      <w:pPr>
        <w:numPr>
          <w:ilvl w:val="1"/>
          <w:numId w:val="188"/>
        </w:numPr>
      </w:pPr>
      <w:r>
        <w:t>HMIS data entry form</w:t>
      </w:r>
    </w:p>
    <w:p w14:paraId="4E0495B6" w14:textId="77777777" w:rsidR="00D52F78" w:rsidRDefault="00D52F78" w:rsidP="00D52F78">
      <w:pPr>
        <w:numPr>
          <w:ilvl w:val="1"/>
          <w:numId w:val="188"/>
        </w:numPr>
      </w:pPr>
      <w:r>
        <w:t>MOU between lead agency (ATCAA) and providers</w:t>
      </w:r>
    </w:p>
    <w:p w14:paraId="20F05830" w14:textId="77777777" w:rsidR="00D52F78" w:rsidRDefault="00D52F78" w:rsidP="00D52F78"/>
    <w:p w14:paraId="3F73E096" w14:textId="77777777" w:rsidR="00D52F78" w:rsidRDefault="00D52F78" w:rsidP="00D52F78">
      <w:pPr>
        <w:numPr>
          <w:ilvl w:val="0"/>
          <w:numId w:val="188"/>
        </w:numPr>
      </w:pPr>
      <w:r>
        <w:t>RELATED PROCEDURES</w:t>
      </w:r>
    </w:p>
    <w:p w14:paraId="5B7BA857" w14:textId="77777777" w:rsidR="00D52F78" w:rsidRDefault="00D52F78" w:rsidP="00D52F78">
      <w:pPr>
        <w:numPr>
          <w:ilvl w:val="1"/>
          <w:numId w:val="188"/>
        </w:numPr>
      </w:pPr>
      <w:r>
        <w:t>Homeless Prevention and Rapid Re-Housing HMIS guidelines</w:t>
      </w:r>
    </w:p>
    <w:p w14:paraId="31F6073E" w14:textId="77777777" w:rsidR="00D52F78" w:rsidRDefault="00D52F78" w:rsidP="00D52F78"/>
    <w:p w14:paraId="4680B61B" w14:textId="77777777" w:rsidR="00D52F78" w:rsidRDefault="00D52F78" w:rsidP="00D52F78"/>
    <w:p w14:paraId="52D708D1" w14:textId="77777777" w:rsidR="00D52F78" w:rsidRDefault="00D52F78" w:rsidP="00D52F78">
      <w:pPr>
        <w:numPr>
          <w:ilvl w:val="0"/>
          <w:numId w:val="188"/>
        </w:numPr>
      </w:pPr>
      <w:r>
        <w:t xml:space="preserve">INTRODUCTION – All agencies involved in ESG rental assistance components must provide staff to train in and perform data collection on program participants, including every member of the family. Agencies will enter data into the online information system managed by the Amador-Tuolumne Community Action Agency. </w:t>
      </w:r>
    </w:p>
    <w:p w14:paraId="1E7A200E" w14:textId="77777777" w:rsidR="00D52F78" w:rsidRDefault="00D52F78" w:rsidP="00D52F78"/>
    <w:p w14:paraId="4E2C82AA" w14:textId="77777777" w:rsidR="00D52F78" w:rsidRDefault="00D52F78" w:rsidP="00D52F78">
      <w:pPr>
        <w:numPr>
          <w:ilvl w:val="0"/>
          <w:numId w:val="188"/>
        </w:numPr>
        <w:rPr>
          <w:sz w:val="16"/>
          <w:szCs w:val="16"/>
          <w:u w:val="single"/>
        </w:rPr>
      </w:pPr>
      <w:r>
        <w:t xml:space="preserve">DETAILED INSTRUCTIONS </w:t>
      </w:r>
    </w:p>
    <w:p w14:paraId="1C9D9BD6" w14:textId="77777777" w:rsidR="00D52F78" w:rsidRDefault="00D52F78" w:rsidP="00D52F78">
      <w:pPr>
        <w:pStyle w:val="ListParagraph"/>
        <w:rPr>
          <w:sz w:val="16"/>
          <w:szCs w:val="16"/>
          <w:u w:val="single"/>
        </w:rPr>
      </w:pPr>
    </w:p>
    <w:p w14:paraId="65701FAE" w14:textId="77777777" w:rsidR="00D52F78" w:rsidRDefault="00D52F78" w:rsidP="00D52F78">
      <w:pPr>
        <w:ind w:left="720"/>
        <w:jc w:val="both"/>
      </w:pPr>
      <w:r>
        <w:t>By 15</w:t>
      </w:r>
      <w:r>
        <w:rPr>
          <w:vertAlign w:val="superscript"/>
        </w:rPr>
        <w:t>th</w:t>
      </w:r>
      <w:r>
        <w:t xml:space="preserve"> of month, data for each household to be entered into the Homeless Management Information System operated by ATCAA.</w:t>
      </w:r>
    </w:p>
    <w:p w14:paraId="71B635BE" w14:textId="77777777" w:rsidR="00D52F78" w:rsidRPr="00D52F78" w:rsidRDefault="00D52F78" w:rsidP="00D52F78">
      <w:pPr>
        <w:rPr>
          <w:rFonts w:ascii="Calibri" w:hAnsi="Calibri"/>
          <w:color w:val="000000" w:themeColor="text1"/>
        </w:rPr>
      </w:pPr>
    </w:p>
    <w:p w14:paraId="3E843E3F" w14:textId="103C1EA2" w:rsidR="00E16BCE" w:rsidRDefault="00E16BCE" w:rsidP="00B11059">
      <w:pPr>
        <w:rPr>
          <w:rFonts w:ascii="Calibri" w:hAnsi="Calibri"/>
          <w:color w:val="000000" w:themeColor="text1"/>
          <w:sz w:val="20"/>
          <w:szCs w:val="21"/>
        </w:rPr>
      </w:pPr>
    </w:p>
    <w:p w14:paraId="6D6FE1D3" w14:textId="074A31A1" w:rsidR="0066318B" w:rsidRDefault="0066318B" w:rsidP="00B11059">
      <w:pPr>
        <w:rPr>
          <w:rFonts w:ascii="Calibri" w:hAnsi="Calibri"/>
          <w:color w:val="000000" w:themeColor="text1"/>
          <w:sz w:val="20"/>
          <w:szCs w:val="21"/>
        </w:rPr>
      </w:pPr>
    </w:p>
    <w:p w14:paraId="01AB7E7E" w14:textId="77777777" w:rsidR="00BC6C26" w:rsidRPr="0061434B" w:rsidRDefault="00BC6C26" w:rsidP="000604EE">
      <w:pPr>
        <w:pStyle w:val="Heading1"/>
        <w:rPr>
          <w:b/>
          <w:bCs/>
          <w:color w:val="0070C0"/>
        </w:rPr>
      </w:pPr>
      <w:bookmarkStart w:id="158" w:name="_Toc124255065"/>
      <w:bookmarkEnd w:id="142"/>
      <w:r w:rsidRPr="0061434B">
        <w:rPr>
          <w:b/>
          <w:bCs/>
          <w:color w:val="0070C0"/>
        </w:rPr>
        <w:lastRenderedPageBreak/>
        <w:t>Standards for Permanent Supportive Housing</w:t>
      </w:r>
      <w:bookmarkEnd w:id="158"/>
      <w:r w:rsidRPr="0061434B">
        <w:rPr>
          <w:b/>
          <w:bCs/>
          <w:color w:val="0070C0"/>
        </w:rPr>
        <w:t xml:space="preserve"> </w:t>
      </w:r>
    </w:p>
    <w:p w14:paraId="2B20613F" w14:textId="77777777" w:rsidR="00BC6C26" w:rsidRPr="0061434B" w:rsidRDefault="00BC6C26">
      <w:pPr>
        <w:pStyle w:val="Heading2"/>
        <w:numPr>
          <w:ilvl w:val="0"/>
          <w:numId w:val="25"/>
        </w:numPr>
        <w:spacing w:before="0" w:line="240" w:lineRule="auto"/>
        <w:contextualSpacing/>
        <w:rPr>
          <w:color w:val="0070C0"/>
        </w:rPr>
      </w:pPr>
      <w:bookmarkStart w:id="159" w:name="_Toc124255066"/>
      <w:r w:rsidRPr="0061434B">
        <w:rPr>
          <w:color w:val="0070C0"/>
        </w:rPr>
        <w:t>Introduction</w:t>
      </w:r>
      <w:bookmarkEnd w:id="159"/>
      <w:r w:rsidRPr="0061434B">
        <w:rPr>
          <w:color w:val="0070C0"/>
        </w:rPr>
        <w:t xml:space="preserve"> </w:t>
      </w:r>
    </w:p>
    <w:p w14:paraId="605BA061" w14:textId="529E3B34" w:rsidR="00BC6C26" w:rsidRPr="00A76818" w:rsidRDefault="00BC6C26">
      <w:pPr>
        <w:pStyle w:val="ListParagraph"/>
        <w:numPr>
          <w:ilvl w:val="1"/>
          <w:numId w:val="13"/>
        </w:numPr>
        <w:rPr>
          <w:rFonts w:ascii="Calibri" w:hAnsi="Calibri"/>
          <w:color w:val="000000" w:themeColor="text1"/>
        </w:rPr>
      </w:pPr>
      <w:r w:rsidRPr="00A76818">
        <w:rPr>
          <w:rFonts w:ascii="Calibri" w:hAnsi="Calibri"/>
          <w:color w:val="000000" w:themeColor="text1"/>
        </w:rPr>
        <w:t>Permanent supportive housing</w:t>
      </w:r>
      <w:r w:rsidR="00FB4F1E" w:rsidRPr="00A76818">
        <w:rPr>
          <w:rFonts w:ascii="Calibri" w:hAnsi="Calibri"/>
          <w:color w:val="000000" w:themeColor="text1"/>
        </w:rPr>
        <w:t xml:space="preserve"> (PSH)</w:t>
      </w:r>
      <w:r w:rsidRPr="00A76818">
        <w:rPr>
          <w:rFonts w:ascii="Calibri" w:hAnsi="Calibri"/>
          <w:color w:val="000000" w:themeColor="text1"/>
        </w:rPr>
        <w:t xml:space="preserve"> </w:t>
      </w:r>
      <w:r w:rsidR="00FB4F1E" w:rsidRPr="00A76818">
        <w:rPr>
          <w:rFonts w:ascii="Calibri" w:hAnsi="Calibri"/>
          <w:color w:val="000000" w:themeColor="text1"/>
        </w:rPr>
        <w:t xml:space="preserve">is a non-time limited housing intervention with supportive services available to high needs households. </w:t>
      </w:r>
    </w:p>
    <w:p w14:paraId="1B5219F4" w14:textId="7B48AB0A" w:rsidR="00FB4F1E" w:rsidRPr="00A76818" w:rsidRDefault="00FB4F1E">
      <w:pPr>
        <w:pStyle w:val="ListParagraph"/>
        <w:numPr>
          <w:ilvl w:val="1"/>
          <w:numId w:val="13"/>
        </w:numPr>
        <w:rPr>
          <w:rFonts w:ascii="Calibri" w:hAnsi="Calibri"/>
          <w:color w:val="000000" w:themeColor="text1"/>
        </w:rPr>
      </w:pPr>
      <w:r w:rsidRPr="00A76818">
        <w:rPr>
          <w:rFonts w:ascii="Calibri" w:hAnsi="Calibri"/>
          <w:color w:val="000000" w:themeColor="text1"/>
        </w:rPr>
        <w:t xml:space="preserve">PSH Households should strive to transition to independent, stable permanent housing in the long-term. </w:t>
      </w:r>
    </w:p>
    <w:p w14:paraId="50FC2BBD" w14:textId="77777777" w:rsidR="00FB4F1E" w:rsidRPr="00A76818" w:rsidRDefault="00FB4F1E" w:rsidP="000604EE">
      <w:pPr>
        <w:contextualSpacing/>
        <w:rPr>
          <w:rFonts w:ascii="Calibri" w:hAnsi="Calibri" w:cs="Calibri"/>
          <w:color w:val="000000" w:themeColor="text1"/>
        </w:rPr>
      </w:pPr>
    </w:p>
    <w:p w14:paraId="36248C5F" w14:textId="77777777" w:rsidR="00BC6C26" w:rsidRPr="0061434B" w:rsidRDefault="00BC6C26">
      <w:pPr>
        <w:pStyle w:val="Heading2"/>
        <w:numPr>
          <w:ilvl w:val="0"/>
          <w:numId w:val="25"/>
        </w:numPr>
        <w:spacing w:before="0" w:line="240" w:lineRule="auto"/>
        <w:contextualSpacing/>
        <w:rPr>
          <w:color w:val="0070C0"/>
        </w:rPr>
      </w:pPr>
      <w:bookmarkStart w:id="160" w:name="_Toc124255067"/>
      <w:r w:rsidRPr="0061434B">
        <w:rPr>
          <w:color w:val="0070C0"/>
        </w:rPr>
        <w:t>Eligibility</w:t>
      </w:r>
      <w:bookmarkEnd w:id="160"/>
      <w:r w:rsidRPr="0061434B">
        <w:rPr>
          <w:color w:val="0070C0"/>
        </w:rPr>
        <w:t xml:space="preserve"> </w:t>
      </w:r>
    </w:p>
    <w:p w14:paraId="3329D7E7" w14:textId="55E874CA" w:rsidR="00BC6C26" w:rsidRPr="00A76818" w:rsidRDefault="00BE4B1E">
      <w:pPr>
        <w:pStyle w:val="ListParagraph"/>
        <w:numPr>
          <w:ilvl w:val="0"/>
          <w:numId w:val="26"/>
        </w:numPr>
        <w:rPr>
          <w:rFonts w:ascii="Calibri" w:hAnsi="Calibri"/>
          <w:color w:val="000000" w:themeColor="text1"/>
        </w:rPr>
      </w:pPr>
      <w:r w:rsidRPr="00A76818">
        <w:rPr>
          <w:rFonts w:ascii="Calibri" w:hAnsi="Calibri"/>
          <w:color w:val="000000" w:themeColor="text1"/>
        </w:rPr>
        <w:t>At a minimum, households</w:t>
      </w:r>
      <w:r w:rsidR="00BC6C26" w:rsidRPr="00A76818">
        <w:rPr>
          <w:rFonts w:ascii="Calibri" w:hAnsi="Calibri"/>
          <w:color w:val="000000" w:themeColor="text1"/>
        </w:rPr>
        <w:t xml:space="preserve"> must meet the definitions of literal homelessness to qualify for permanent supportive housing. </w:t>
      </w:r>
    </w:p>
    <w:p w14:paraId="1D8B6E3A" w14:textId="6FE3B63E" w:rsidR="00CC61AB" w:rsidRDefault="00CC61AB">
      <w:pPr>
        <w:pStyle w:val="ListParagraph"/>
        <w:numPr>
          <w:ilvl w:val="2"/>
          <w:numId w:val="26"/>
        </w:numPr>
        <w:rPr>
          <w:rFonts w:ascii="Calibri" w:hAnsi="Calibri"/>
          <w:color w:val="000000" w:themeColor="text1"/>
        </w:rPr>
      </w:pPr>
      <w:r w:rsidRPr="00A76818">
        <w:rPr>
          <w:rFonts w:ascii="Calibri" w:hAnsi="Calibri"/>
          <w:color w:val="000000" w:themeColor="text1"/>
        </w:rPr>
        <w:t xml:space="preserve">See Appendix </w:t>
      </w:r>
      <w:r>
        <w:rPr>
          <w:rFonts w:ascii="Calibri" w:hAnsi="Calibri"/>
          <w:color w:val="000000" w:themeColor="text1"/>
        </w:rPr>
        <w:t>E</w:t>
      </w:r>
      <w:r w:rsidRPr="00A76818">
        <w:rPr>
          <w:rFonts w:ascii="Calibri" w:hAnsi="Calibri"/>
          <w:color w:val="000000" w:themeColor="text1"/>
        </w:rPr>
        <w:t>: HUD Definitions of Homelessness (pg.</w:t>
      </w:r>
      <w:r>
        <w:rPr>
          <w:rFonts w:ascii="Calibri" w:hAnsi="Calibri"/>
          <w:color w:val="000000" w:themeColor="text1"/>
        </w:rPr>
        <w:t xml:space="preserve"> 46</w:t>
      </w:r>
      <w:r w:rsidRPr="00A76818">
        <w:rPr>
          <w:rFonts w:ascii="Calibri" w:hAnsi="Calibri"/>
          <w:color w:val="000000" w:themeColor="text1"/>
        </w:rPr>
        <w:t xml:space="preserve">) for more information about homelessness definitions. </w:t>
      </w:r>
    </w:p>
    <w:p w14:paraId="0910723A" w14:textId="77777777" w:rsidR="00CC61AB" w:rsidRPr="00CC61AB" w:rsidRDefault="00CC61AB">
      <w:pPr>
        <w:pStyle w:val="ListParagraph"/>
        <w:numPr>
          <w:ilvl w:val="2"/>
          <w:numId w:val="26"/>
        </w:numPr>
        <w:rPr>
          <w:rFonts w:ascii="Calibri" w:hAnsi="Calibri"/>
          <w:color w:val="000000" w:themeColor="text1"/>
        </w:rPr>
      </w:pPr>
      <w:r w:rsidRPr="00A76818">
        <w:rPr>
          <w:rFonts w:ascii="Calibri" w:hAnsi="Calibri"/>
          <w:color w:val="000000" w:themeColor="text1"/>
        </w:rPr>
        <w:t xml:space="preserve">Please see Appendix </w:t>
      </w:r>
      <w:r>
        <w:rPr>
          <w:rFonts w:ascii="Calibri" w:hAnsi="Calibri"/>
          <w:color w:val="000000" w:themeColor="text1"/>
        </w:rPr>
        <w:t>F</w:t>
      </w:r>
      <w:r w:rsidRPr="00A76818">
        <w:rPr>
          <w:rFonts w:ascii="Calibri" w:hAnsi="Calibri"/>
          <w:color w:val="000000" w:themeColor="text1"/>
        </w:rPr>
        <w:t>: HUD Record Keeping Requirement (</w:t>
      </w:r>
      <w:r>
        <w:rPr>
          <w:rFonts w:ascii="Calibri" w:hAnsi="Calibri"/>
          <w:color w:val="000000" w:themeColor="text1"/>
        </w:rPr>
        <w:t>pg</w:t>
      </w:r>
      <w:r w:rsidRPr="00A76818">
        <w:rPr>
          <w:rFonts w:ascii="Calibri" w:hAnsi="Calibri"/>
          <w:color w:val="000000" w:themeColor="text1"/>
        </w:rPr>
        <w:t>. 4</w:t>
      </w:r>
      <w:r>
        <w:rPr>
          <w:rFonts w:ascii="Calibri" w:hAnsi="Calibri"/>
          <w:color w:val="000000" w:themeColor="text1"/>
        </w:rPr>
        <w:t>7</w:t>
      </w:r>
      <w:r w:rsidRPr="00A76818">
        <w:rPr>
          <w:rFonts w:ascii="Calibri" w:hAnsi="Calibri"/>
          <w:color w:val="000000" w:themeColor="text1"/>
        </w:rPr>
        <w:t xml:space="preserve">) for more information on how to properly document eligibility for rapid re-housing and homelessness prevention assistance. </w:t>
      </w:r>
    </w:p>
    <w:p w14:paraId="674C8604" w14:textId="77777777" w:rsidR="00BC6C26" w:rsidRPr="000604EE" w:rsidRDefault="00BC6C26" w:rsidP="000604EE">
      <w:pPr>
        <w:pStyle w:val="ListParagraph"/>
        <w:ind w:left="1440"/>
        <w:rPr>
          <w:rFonts w:ascii="Calibri" w:hAnsi="Calibri"/>
          <w:color w:val="000000" w:themeColor="text1"/>
          <w:sz w:val="20"/>
          <w:szCs w:val="21"/>
        </w:rPr>
      </w:pPr>
    </w:p>
    <w:p w14:paraId="7DBE4421" w14:textId="77777777" w:rsidR="00BC6C26" w:rsidRPr="0061434B" w:rsidRDefault="00BC6C26">
      <w:pPr>
        <w:pStyle w:val="Heading2"/>
        <w:numPr>
          <w:ilvl w:val="0"/>
          <w:numId w:val="25"/>
        </w:numPr>
        <w:spacing w:before="0" w:line="240" w:lineRule="auto"/>
        <w:contextualSpacing/>
        <w:rPr>
          <w:color w:val="0070C0"/>
        </w:rPr>
      </w:pPr>
      <w:bookmarkStart w:id="161" w:name="_Toc124255068"/>
      <w:r w:rsidRPr="0061434B">
        <w:rPr>
          <w:color w:val="0070C0"/>
        </w:rPr>
        <w:t>Prioritization</w:t>
      </w:r>
      <w:bookmarkEnd w:id="161"/>
      <w:r w:rsidRPr="0061434B">
        <w:rPr>
          <w:color w:val="0070C0"/>
        </w:rPr>
        <w:t xml:space="preserve"> </w:t>
      </w:r>
    </w:p>
    <w:p w14:paraId="0055E82C" w14:textId="16CE224B" w:rsidR="00FB4F1E" w:rsidRPr="00A76818" w:rsidRDefault="00BC6C26">
      <w:pPr>
        <w:pStyle w:val="ListParagraph"/>
        <w:numPr>
          <w:ilvl w:val="0"/>
          <w:numId w:val="27"/>
        </w:numPr>
        <w:rPr>
          <w:rFonts w:ascii="Calibri" w:hAnsi="Calibri"/>
          <w:color w:val="000000" w:themeColor="text1"/>
        </w:rPr>
      </w:pPr>
      <w:r w:rsidRPr="00A76818">
        <w:rPr>
          <w:rFonts w:ascii="Calibri" w:hAnsi="Calibri" w:cs="Calibri"/>
          <w:color w:val="000000" w:themeColor="text1"/>
        </w:rPr>
        <w:t>All </w:t>
      </w:r>
      <w:r w:rsidR="00434989" w:rsidRPr="00A76818">
        <w:rPr>
          <w:rFonts w:ascii="Calibri" w:hAnsi="Calibri" w:cs="Calibri"/>
          <w:color w:val="000000" w:themeColor="text1"/>
        </w:rPr>
        <w:t>service</w:t>
      </w:r>
      <w:r w:rsidRPr="00A76818">
        <w:rPr>
          <w:rFonts w:ascii="Calibri" w:hAnsi="Calibri" w:cs="Calibri"/>
          <w:color w:val="000000" w:themeColor="text1"/>
        </w:rPr>
        <w:t> providers </w:t>
      </w:r>
      <w:r w:rsidR="00434989" w:rsidRPr="00A76818">
        <w:rPr>
          <w:rFonts w:ascii="Calibri" w:hAnsi="Calibri" w:cs="Calibri"/>
          <w:color w:val="000000" w:themeColor="text1"/>
        </w:rPr>
        <w:t xml:space="preserve">must </w:t>
      </w:r>
      <w:r w:rsidRPr="00A76818">
        <w:rPr>
          <w:rFonts w:ascii="Calibri" w:hAnsi="Calibri" w:cs="Calibri"/>
          <w:color w:val="000000" w:themeColor="text1"/>
        </w:rPr>
        <w:t>use the coordinated entry process to prioritize households within the CSCoC geographic service area for access to housing and supportive services.</w:t>
      </w:r>
    </w:p>
    <w:p w14:paraId="4FD8B4E7" w14:textId="45850D38" w:rsidR="000F0C75" w:rsidRPr="00A76818" w:rsidRDefault="00434989">
      <w:pPr>
        <w:pStyle w:val="ListParagraph"/>
        <w:numPr>
          <w:ilvl w:val="0"/>
          <w:numId w:val="27"/>
        </w:numPr>
        <w:rPr>
          <w:rFonts w:ascii="Calibri" w:hAnsi="Calibri"/>
          <w:color w:val="000000" w:themeColor="text1"/>
        </w:rPr>
      </w:pPr>
      <w:r w:rsidRPr="00A76818">
        <w:rPr>
          <w:rFonts w:ascii="Calibri" w:hAnsi="Calibri" w:cs="Calibri"/>
          <w:color w:val="000000" w:themeColor="text1"/>
        </w:rPr>
        <w:t>Households</w:t>
      </w:r>
      <w:r w:rsidR="00BC6C26" w:rsidRPr="00A76818">
        <w:rPr>
          <w:rFonts w:ascii="Calibri" w:hAnsi="Calibri" w:cs="Calibri"/>
          <w:color w:val="000000" w:themeColor="text1"/>
        </w:rPr>
        <w:t xml:space="preserve"> will be prioritized for Permanent Supportive Housing </w:t>
      </w:r>
      <w:r w:rsidR="002C5E54">
        <w:rPr>
          <w:rFonts w:ascii="Calibri" w:hAnsi="Calibri" w:cs="Calibri"/>
          <w:color w:val="000000" w:themeColor="text1"/>
        </w:rPr>
        <w:t>based on</w:t>
      </w:r>
      <w:r w:rsidR="00BC6C26" w:rsidRPr="00A76818">
        <w:rPr>
          <w:rFonts w:ascii="Calibri" w:hAnsi="Calibri" w:cs="Calibri"/>
          <w:color w:val="000000" w:themeColor="text1"/>
        </w:rPr>
        <w:t xml:space="preserve"> HUD Notice CPD 16-11</w:t>
      </w:r>
      <w:r w:rsidRPr="00A76818">
        <w:rPr>
          <w:rFonts w:ascii="Calibri" w:hAnsi="Calibri" w:cs="Calibri"/>
          <w:color w:val="000000" w:themeColor="text1"/>
        </w:rPr>
        <w:t>, outlined in detail below</w:t>
      </w:r>
      <w:r w:rsidR="002C5E54">
        <w:rPr>
          <w:rFonts w:ascii="Calibri" w:hAnsi="Calibri" w:cs="Calibri"/>
          <w:color w:val="000000" w:themeColor="text1"/>
        </w:rPr>
        <w:t xml:space="preserve">. </w:t>
      </w:r>
      <w:r w:rsidR="002C5E54" w:rsidRPr="002C5E54">
        <w:rPr>
          <w:rFonts w:ascii="Calibri" w:hAnsi="Calibri"/>
          <w:color w:val="000000" w:themeColor="text1"/>
        </w:rPr>
        <w:t>The following chart is to be used as a guide for prioritization</w:t>
      </w:r>
      <w:r w:rsidR="002C5E54">
        <w:rPr>
          <w:rFonts w:ascii="Calibri" w:hAnsi="Calibri"/>
          <w:color w:val="000000" w:themeColor="text1"/>
        </w:rPr>
        <w:t>; however, f</w:t>
      </w:r>
      <w:r w:rsidR="002C5E54" w:rsidRPr="002C5E54">
        <w:rPr>
          <w:rFonts w:ascii="Calibri" w:hAnsi="Calibri"/>
          <w:color w:val="000000" w:themeColor="text1"/>
        </w:rPr>
        <w:t>inal prioritization will include results from the weekly CES call</w:t>
      </w:r>
      <w:r w:rsidR="002C5E54">
        <w:rPr>
          <w:rFonts w:ascii="Calibri" w:hAnsi="Calibri"/>
          <w:color w:val="000000" w:themeColor="text1"/>
        </w:rPr>
        <w:t>.</w:t>
      </w:r>
    </w:p>
    <w:p w14:paraId="512CD564" w14:textId="77777777" w:rsidR="003C1BD2" w:rsidRPr="000604EE" w:rsidRDefault="003C1BD2" w:rsidP="000604EE">
      <w:pPr>
        <w:pStyle w:val="ListParagraph"/>
        <w:ind w:left="1440"/>
        <w:rPr>
          <w:rFonts w:ascii="Calibri" w:hAnsi="Calibri"/>
          <w:color w:val="000000" w:themeColor="text1"/>
          <w:sz w:val="20"/>
          <w:szCs w:val="21"/>
        </w:rPr>
      </w:pPr>
    </w:p>
    <w:tbl>
      <w:tblPr>
        <w:tblStyle w:val="GridTable4-Accent1"/>
        <w:tblW w:w="12145" w:type="dxa"/>
        <w:tblLook w:val="04A0" w:firstRow="1" w:lastRow="0" w:firstColumn="1" w:lastColumn="0" w:noHBand="0" w:noVBand="1"/>
      </w:tblPr>
      <w:tblGrid>
        <w:gridCol w:w="4711"/>
        <w:gridCol w:w="7434"/>
      </w:tblGrid>
      <w:tr w:rsidR="00442BDB" w:rsidRPr="00A76818" w14:paraId="15BA17C4" w14:textId="77777777" w:rsidTr="00271B9B">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2145" w:type="dxa"/>
            <w:gridSpan w:val="2"/>
          </w:tcPr>
          <w:p w14:paraId="17D9B324" w14:textId="78DD054D" w:rsidR="00BC6C26" w:rsidRPr="00A76818" w:rsidRDefault="00BC6C26" w:rsidP="00CC61AB">
            <w:pPr>
              <w:contextualSpacing/>
              <w:rPr>
                <w:rFonts w:ascii="Calibri" w:hAnsi="Calibri" w:cs="Calibri"/>
                <w:b w:val="0"/>
                <w:bCs w:val="0"/>
                <w:color w:val="000000" w:themeColor="text1"/>
              </w:rPr>
            </w:pPr>
            <w:r w:rsidRPr="00A76818">
              <w:rPr>
                <w:rFonts w:ascii="Calibri" w:hAnsi="Calibri" w:cs="Calibri"/>
                <w:b w:val="0"/>
                <w:bCs w:val="0"/>
                <w:color w:val="000000" w:themeColor="text1"/>
              </w:rPr>
              <w:t>Prioritization for Permanent Supportive Housing</w:t>
            </w:r>
          </w:p>
        </w:tc>
      </w:tr>
      <w:tr w:rsidR="00442BDB" w:rsidRPr="00A76818" w14:paraId="7E803448" w14:textId="77777777" w:rsidTr="00271B9B">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711" w:type="dxa"/>
          </w:tcPr>
          <w:p w14:paraId="1F2E69B6" w14:textId="77777777" w:rsidR="00BC6C26" w:rsidRPr="00A76818" w:rsidRDefault="00BC6C26" w:rsidP="000604EE">
            <w:pPr>
              <w:contextualSpacing/>
              <w:rPr>
                <w:rFonts w:ascii="Calibri" w:hAnsi="Calibri" w:cs="Calibri"/>
                <w:b w:val="0"/>
                <w:bCs w:val="0"/>
                <w:color w:val="000000" w:themeColor="text1"/>
              </w:rPr>
            </w:pPr>
            <w:r w:rsidRPr="00A76818">
              <w:rPr>
                <w:rFonts w:ascii="Calibri" w:hAnsi="Calibri" w:cs="Calibri"/>
                <w:b w:val="0"/>
                <w:bCs w:val="0"/>
                <w:color w:val="000000" w:themeColor="text1"/>
              </w:rPr>
              <w:t>Priority Level</w:t>
            </w:r>
          </w:p>
        </w:tc>
        <w:tc>
          <w:tcPr>
            <w:tcW w:w="7434" w:type="dxa"/>
          </w:tcPr>
          <w:p w14:paraId="529A24BC" w14:textId="77777777" w:rsidR="00BC6C26" w:rsidRPr="00A76818" w:rsidRDefault="00BC6C2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Defining Factors</w:t>
            </w:r>
          </w:p>
        </w:tc>
      </w:tr>
      <w:tr w:rsidR="00BC6C26" w:rsidRPr="00A76818" w14:paraId="06D9BFF2" w14:textId="77777777" w:rsidTr="00271B9B">
        <w:trPr>
          <w:trHeight w:val="234"/>
        </w:trPr>
        <w:tc>
          <w:tcPr>
            <w:cnfStyle w:val="001000000000" w:firstRow="0" w:lastRow="0" w:firstColumn="1" w:lastColumn="0" w:oddVBand="0" w:evenVBand="0" w:oddHBand="0" w:evenHBand="0" w:firstRowFirstColumn="0" w:firstRowLastColumn="0" w:lastRowFirstColumn="0" w:lastRowLastColumn="0"/>
            <w:tcW w:w="4711" w:type="dxa"/>
            <w:vMerge w:val="restart"/>
          </w:tcPr>
          <w:p w14:paraId="1762B541" w14:textId="77777777" w:rsidR="00BC6C26" w:rsidRPr="00A76818" w:rsidRDefault="00BC6C26" w:rsidP="000604EE">
            <w:pPr>
              <w:contextualSpacing/>
              <w:rPr>
                <w:rFonts w:ascii="Calibri" w:hAnsi="Calibri" w:cs="Calibri"/>
                <w:b w:val="0"/>
                <w:bCs w:val="0"/>
                <w:color w:val="000000" w:themeColor="text1"/>
              </w:rPr>
            </w:pPr>
            <w:r w:rsidRPr="00A76818">
              <w:rPr>
                <w:rFonts w:ascii="Calibri" w:hAnsi="Calibri" w:cs="Calibri"/>
                <w:b w:val="0"/>
                <w:bCs w:val="0"/>
                <w:color w:val="000000" w:themeColor="text1"/>
              </w:rPr>
              <w:t>Priority 1</w:t>
            </w:r>
          </w:p>
          <w:p w14:paraId="40D04545" w14:textId="77777777" w:rsidR="00BC6C26" w:rsidRPr="00A76818" w:rsidRDefault="00BC6C26" w:rsidP="000604EE">
            <w:pPr>
              <w:contextualSpacing/>
              <w:rPr>
                <w:rFonts w:ascii="Calibri" w:hAnsi="Calibri" w:cs="Calibri"/>
                <w:b w:val="0"/>
                <w:bCs w:val="0"/>
                <w:color w:val="000000" w:themeColor="text1"/>
              </w:rPr>
            </w:pPr>
          </w:p>
        </w:tc>
        <w:tc>
          <w:tcPr>
            <w:tcW w:w="7434" w:type="dxa"/>
          </w:tcPr>
          <w:p w14:paraId="10FE4CEC" w14:textId="77777777" w:rsidR="00BC6C26" w:rsidRPr="00A76818" w:rsidRDefault="00BC6C2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VI-SPDAT Score: 8+ </w:t>
            </w:r>
          </w:p>
        </w:tc>
      </w:tr>
      <w:tr w:rsidR="00BC6C26" w:rsidRPr="00A76818" w14:paraId="0BC8205A" w14:textId="77777777" w:rsidTr="00271B9B">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4711" w:type="dxa"/>
            <w:vMerge/>
          </w:tcPr>
          <w:p w14:paraId="6AA561F5" w14:textId="77777777" w:rsidR="00BC6C26" w:rsidRPr="00A76818" w:rsidRDefault="00BC6C26" w:rsidP="000604EE">
            <w:pPr>
              <w:contextualSpacing/>
              <w:rPr>
                <w:rFonts w:ascii="Calibri" w:hAnsi="Calibri" w:cs="Calibri"/>
                <w:b w:val="0"/>
                <w:bCs w:val="0"/>
                <w:color w:val="000000" w:themeColor="text1"/>
              </w:rPr>
            </w:pPr>
          </w:p>
        </w:tc>
        <w:tc>
          <w:tcPr>
            <w:tcW w:w="7434" w:type="dxa"/>
            <w:shd w:val="clear" w:color="auto" w:fill="FFFFFF" w:themeFill="background1"/>
          </w:tcPr>
          <w:p w14:paraId="65ABD2F0" w14:textId="77777777" w:rsidR="00BC6C26" w:rsidRPr="00A76818" w:rsidRDefault="00BC6C2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Chronic Homelessness </w:t>
            </w:r>
          </w:p>
        </w:tc>
      </w:tr>
      <w:tr w:rsidR="00BC6C26" w:rsidRPr="00A76818" w14:paraId="29BD66A3" w14:textId="77777777" w:rsidTr="00271B9B">
        <w:trPr>
          <w:trHeight w:val="923"/>
        </w:trPr>
        <w:tc>
          <w:tcPr>
            <w:cnfStyle w:val="001000000000" w:firstRow="0" w:lastRow="0" w:firstColumn="1" w:lastColumn="0" w:oddVBand="0" w:evenVBand="0" w:oddHBand="0" w:evenHBand="0" w:firstRowFirstColumn="0" w:firstRowLastColumn="0" w:lastRowFirstColumn="0" w:lastRowLastColumn="0"/>
            <w:tcW w:w="4711" w:type="dxa"/>
            <w:vMerge/>
          </w:tcPr>
          <w:p w14:paraId="178DC409" w14:textId="77777777" w:rsidR="00BC6C26" w:rsidRPr="00A76818" w:rsidRDefault="00BC6C26" w:rsidP="000604EE">
            <w:pPr>
              <w:contextualSpacing/>
              <w:rPr>
                <w:rFonts w:ascii="Calibri" w:hAnsi="Calibri" w:cs="Calibri"/>
                <w:b w:val="0"/>
                <w:bCs w:val="0"/>
                <w:color w:val="000000" w:themeColor="text1"/>
              </w:rPr>
            </w:pPr>
          </w:p>
        </w:tc>
        <w:tc>
          <w:tcPr>
            <w:tcW w:w="7434" w:type="dxa"/>
          </w:tcPr>
          <w:p w14:paraId="34A64E9C" w14:textId="6CBCF096" w:rsidR="00BC6C26" w:rsidRPr="00A76818" w:rsidRDefault="00A83E72" w:rsidP="000604EE">
            <w:pPr>
              <w:pStyle w:val="paragraph"/>
              <w:spacing w:before="0" w:beforeAutospacing="0" w:after="0" w:afterAutospacing="0"/>
              <w:contextualSpacing/>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Style w:val="eop"/>
                <w:rFonts w:ascii="Calibri" w:hAnsi="Calibri" w:cs="Calibri"/>
                <w:color w:val="000000" w:themeColor="text1"/>
              </w:rPr>
              <w:t>3</w:t>
            </w:r>
            <w:r w:rsidR="000F0C75" w:rsidRPr="00A76818">
              <w:rPr>
                <w:rStyle w:val="eop"/>
                <w:rFonts w:ascii="Calibri" w:hAnsi="Calibri" w:cs="Calibri"/>
                <w:color w:val="000000" w:themeColor="text1"/>
              </w:rPr>
              <w:t>+ HUD Disabling Condition</w:t>
            </w:r>
            <w:r w:rsidRPr="00A76818">
              <w:rPr>
                <w:rStyle w:val="eop"/>
                <w:rFonts w:ascii="Calibri" w:hAnsi="Calibri" w:cs="Calibri"/>
                <w:color w:val="000000" w:themeColor="text1"/>
              </w:rPr>
              <w:t>s</w:t>
            </w:r>
            <w:r w:rsidR="000F0C75" w:rsidRPr="00A76818">
              <w:rPr>
                <w:rStyle w:val="eop"/>
                <w:rFonts w:ascii="Calibri" w:hAnsi="Calibri" w:cs="Calibri"/>
                <w:color w:val="000000" w:themeColor="text1"/>
              </w:rPr>
              <w:t>:</w:t>
            </w:r>
          </w:p>
          <w:p w14:paraId="6B227922" w14:textId="77777777" w:rsidR="00BC6C26" w:rsidRPr="00A76818" w:rsidRDefault="00BC6C26">
            <w:pPr>
              <w:pStyle w:val="paragraph"/>
              <w:numPr>
                <w:ilvl w:val="0"/>
                <w:numId w:val="14"/>
              </w:numPr>
              <w:spacing w:before="0" w:beforeAutospacing="0" w:after="0" w:afterAutospacing="0"/>
              <w:ind w:left="345" w:firstLine="0"/>
              <w:contextualSpacing/>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Style w:val="normaltextrun"/>
                <w:rFonts w:ascii="Calibri" w:hAnsi="Calibri" w:cs="Calibri"/>
                <w:color w:val="000000" w:themeColor="text1"/>
              </w:rPr>
              <w:t>Physical Health</w:t>
            </w:r>
            <w:r w:rsidRPr="00A76818">
              <w:rPr>
                <w:rStyle w:val="eop"/>
                <w:rFonts w:ascii="Calibri" w:hAnsi="Calibri" w:cs="Calibri"/>
                <w:color w:val="000000" w:themeColor="text1"/>
              </w:rPr>
              <w:t> </w:t>
            </w:r>
          </w:p>
          <w:p w14:paraId="248DEB9D" w14:textId="77777777" w:rsidR="00BC6C26" w:rsidRPr="00A76818" w:rsidRDefault="00BC6C26">
            <w:pPr>
              <w:pStyle w:val="paragraph"/>
              <w:numPr>
                <w:ilvl w:val="0"/>
                <w:numId w:val="14"/>
              </w:numPr>
              <w:spacing w:before="0" w:beforeAutospacing="0" w:after="0" w:afterAutospacing="0"/>
              <w:ind w:left="345" w:firstLine="0"/>
              <w:contextualSpacing/>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Style w:val="normaltextrun"/>
                <w:rFonts w:ascii="Calibri" w:hAnsi="Calibri" w:cs="Calibri"/>
                <w:color w:val="000000" w:themeColor="text1"/>
              </w:rPr>
              <w:t>Mental Health</w:t>
            </w:r>
            <w:r w:rsidRPr="00A76818">
              <w:rPr>
                <w:rStyle w:val="eop"/>
                <w:rFonts w:ascii="Calibri" w:hAnsi="Calibri" w:cs="Calibri"/>
                <w:color w:val="000000" w:themeColor="text1"/>
              </w:rPr>
              <w:t> </w:t>
            </w:r>
          </w:p>
          <w:p w14:paraId="0750461F" w14:textId="77777777" w:rsidR="00BC6C26" w:rsidRPr="00A76818" w:rsidRDefault="00BC6C26">
            <w:pPr>
              <w:pStyle w:val="paragraph"/>
              <w:numPr>
                <w:ilvl w:val="0"/>
                <w:numId w:val="14"/>
              </w:numPr>
              <w:spacing w:before="0" w:beforeAutospacing="0" w:after="0" w:afterAutospacing="0"/>
              <w:ind w:left="345" w:firstLine="0"/>
              <w:contextualSpacing/>
              <w:textAlignment w:val="baseline"/>
              <w:cnfStyle w:val="000000000000" w:firstRow="0" w:lastRow="0" w:firstColumn="0" w:lastColumn="0" w:oddVBand="0" w:evenVBand="0" w:oddHBand="0" w:evenHBand="0" w:firstRowFirstColumn="0" w:firstRowLastColumn="0" w:lastRowFirstColumn="0" w:lastRowLastColumn="0"/>
              <w:rPr>
                <w:rStyle w:val="eop"/>
                <w:rFonts w:ascii="Calibri" w:hAnsi="Calibri" w:cs="Calibri"/>
                <w:color w:val="000000" w:themeColor="text1"/>
              </w:rPr>
            </w:pPr>
            <w:r w:rsidRPr="00A76818">
              <w:rPr>
                <w:rStyle w:val="normaltextrun"/>
                <w:rFonts w:ascii="Calibri" w:hAnsi="Calibri" w:cs="Calibri"/>
                <w:color w:val="000000" w:themeColor="text1"/>
              </w:rPr>
              <w:t>Substance Use</w:t>
            </w:r>
            <w:r w:rsidRPr="00A76818">
              <w:rPr>
                <w:rStyle w:val="eop"/>
                <w:rFonts w:ascii="Calibri" w:hAnsi="Calibri" w:cs="Calibri"/>
                <w:color w:val="000000" w:themeColor="text1"/>
              </w:rPr>
              <w:t> </w:t>
            </w:r>
          </w:p>
          <w:p w14:paraId="7394ACFD" w14:textId="1C5EA3CD" w:rsidR="000F0C75" w:rsidRPr="00A76818" w:rsidRDefault="000F0C75">
            <w:pPr>
              <w:pStyle w:val="paragraph"/>
              <w:numPr>
                <w:ilvl w:val="0"/>
                <w:numId w:val="14"/>
              </w:numPr>
              <w:spacing w:before="0" w:beforeAutospacing="0" w:after="0" w:afterAutospacing="0"/>
              <w:ind w:left="345" w:firstLine="0"/>
              <w:contextualSpacing/>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Style w:val="eop"/>
                <w:rFonts w:ascii="Calibri" w:hAnsi="Calibri" w:cs="Calibri"/>
                <w:color w:val="000000" w:themeColor="text1"/>
              </w:rPr>
              <w:t>Developmental Disability</w:t>
            </w:r>
          </w:p>
        </w:tc>
      </w:tr>
      <w:tr w:rsidR="00BC6C26" w:rsidRPr="00A76818" w14:paraId="2728DB5D" w14:textId="77777777" w:rsidTr="00271B9B">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711" w:type="dxa"/>
            <w:vMerge w:val="restart"/>
          </w:tcPr>
          <w:p w14:paraId="62175773" w14:textId="5DEF2955" w:rsidR="00BC6C26" w:rsidRPr="00A76818" w:rsidRDefault="00BC6C26" w:rsidP="000604EE">
            <w:pPr>
              <w:contextualSpacing/>
              <w:rPr>
                <w:rFonts w:ascii="Calibri" w:hAnsi="Calibri" w:cs="Calibri"/>
                <w:b w:val="0"/>
                <w:bCs w:val="0"/>
                <w:color w:val="000000" w:themeColor="text1"/>
              </w:rPr>
            </w:pPr>
            <w:r w:rsidRPr="00A76818">
              <w:rPr>
                <w:rFonts w:ascii="Calibri" w:hAnsi="Calibri" w:cs="Calibri"/>
                <w:b w:val="0"/>
                <w:bCs w:val="0"/>
                <w:color w:val="000000" w:themeColor="text1"/>
              </w:rPr>
              <w:t>Priority 2</w:t>
            </w:r>
          </w:p>
          <w:p w14:paraId="3482C79F" w14:textId="77777777" w:rsidR="00BC6C26" w:rsidRPr="00A76818" w:rsidRDefault="00BC6C26" w:rsidP="000604EE">
            <w:pPr>
              <w:contextualSpacing/>
              <w:rPr>
                <w:rFonts w:ascii="Calibri" w:hAnsi="Calibri" w:cs="Calibri"/>
                <w:b w:val="0"/>
                <w:bCs w:val="0"/>
                <w:color w:val="000000" w:themeColor="text1"/>
              </w:rPr>
            </w:pPr>
          </w:p>
        </w:tc>
        <w:tc>
          <w:tcPr>
            <w:tcW w:w="7434" w:type="dxa"/>
          </w:tcPr>
          <w:p w14:paraId="1830E75F" w14:textId="77777777" w:rsidR="00BC6C26" w:rsidRPr="00A76818" w:rsidRDefault="00BC6C2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VI-SPDAT Score: 8+ </w:t>
            </w:r>
          </w:p>
        </w:tc>
      </w:tr>
      <w:tr w:rsidR="00BC6C26" w:rsidRPr="00A76818" w14:paraId="7013BB8E" w14:textId="77777777" w:rsidTr="00271B9B">
        <w:trPr>
          <w:trHeight w:val="248"/>
        </w:trPr>
        <w:tc>
          <w:tcPr>
            <w:cnfStyle w:val="001000000000" w:firstRow="0" w:lastRow="0" w:firstColumn="1" w:lastColumn="0" w:oddVBand="0" w:evenVBand="0" w:oddHBand="0" w:evenHBand="0" w:firstRowFirstColumn="0" w:firstRowLastColumn="0" w:lastRowFirstColumn="0" w:lastRowLastColumn="0"/>
            <w:tcW w:w="4711" w:type="dxa"/>
            <w:vMerge/>
          </w:tcPr>
          <w:p w14:paraId="65744CEF" w14:textId="77777777" w:rsidR="00BC6C26" w:rsidRPr="00A76818" w:rsidRDefault="00BC6C26" w:rsidP="000604EE">
            <w:pPr>
              <w:contextualSpacing/>
              <w:rPr>
                <w:rFonts w:ascii="Calibri" w:hAnsi="Calibri" w:cs="Calibri"/>
                <w:b w:val="0"/>
                <w:bCs w:val="0"/>
                <w:color w:val="000000" w:themeColor="text1"/>
              </w:rPr>
            </w:pPr>
          </w:p>
        </w:tc>
        <w:tc>
          <w:tcPr>
            <w:tcW w:w="7434" w:type="dxa"/>
            <w:shd w:val="clear" w:color="auto" w:fill="FBE7D0"/>
          </w:tcPr>
          <w:p w14:paraId="39B857F9" w14:textId="77777777" w:rsidR="00BC6C26" w:rsidRPr="00A76818" w:rsidRDefault="00BC6C2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Chronic Homelessness </w:t>
            </w:r>
          </w:p>
        </w:tc>
      </w:tr>
      <w:tr w:rsidR="00BC6C26" w:rsidRPr="00A76818" w14:paraId="47C26A87" w14:textId="77777777" w:rsidTr="00271B9B">
        <w:trPr>
          <w:cnfStyle w:val="000000100000" w:firstRow="0" w:lastRow="0" w:firstColumn="0" w:lastColumn="0" w:oddVBand="0" w:evenVBand="0" w:oddHBand="1" w:evenHBand="0" w:firstRowFirstColumn="0" w:firstRowLastColumn="0" w:lastRowFirstColumn="0" w:lastRowLastColumn="0"/>
          <w:trHeight w:val="1143"/>
        </w:trPr>
        <w:tc>
          <w:tcPr>
            <w:cnfStyle w:val="001000000000" w:firstRow="0" w:lastRow="0" w:firstColumn="1" w:lastColumn="0" w:oddVBand="0" w:evenVBand="0" w:oddHBand="0" w:evenHBand="0" w:firstRowFirstColumn="0" w:firstRowLastColumn="0" w:lastRowFirstColumn="0" w:lastRowLastColumn="0"/>
            <w:tcW w:w="4711" w:type="dxa"/>
            <w:vMerge/>
          </w:tcPr>
          <w:p w14:paraId="400F1718" w14:textId="77777777" w:rsidR="00BC6C26" w:rsidRPr="00A76818" w:rsidRDefault="00BC6C26" w:rsidP="000604EE">
            <w:pPr>
              <w:contextualSpacing/>
              <w:rPr>
                <w:rFonts w:ascii="Calibri" w:hAnsi="Calibri" w:cs="Calibri"/>
                <w:b w:val="0"/>
                <w:bCs w:val="0"/>
                <w:color w:val="000000" w:themeColor="text1"/>
              </w:rPr>
            </w:pPr>
          </w:p>
        </w:tc>
        <w:tc>
          <w:tcPr>
            <w:tcW w:w="7434" w:type="dxa"/>
          </w:tcPr>
          <w:p w14:paraId="1DF5CBC3" w14:textId="77777777" w:rsidR="00BC6C26" w:rsidRPr="00A76818" w:rsidRDefault="00BC6C26" w:rsidP="000604EE">
            <w:pPr>
              <w:pStyle w:val="paragraph"/>
              <w:spacing w:before="0" w:beforeAutospacing="0" w:after="0" w:afterAutospacing="0"/>
              <w:contextualSpacing/>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Style w:val="normaltextrun"/>
                <w:rFonts w:ascii="Calibri" w:hAnsi="Calibri" w:cs="Calibri"/>
                <w:color w:val="000000" w:themeColor="text1"/>
              </w:rPr>
              <w:t>2+ HUD Disabling Conditions:</w:t>
            </w:r>
            <w:r w:rsidRPr="00A76818">
              <w:rPr>
                <w:rStyle w:val="eop"/>
                <w:rFonts w:ascii="Calibri" w:hAnsi="Calibri" w:cs="Calibri"/>
                <w:color w:val="000000" w:themeColor="text1"/>
              </w:rPr>
              <w:t> </w:t>
            </w:r>
          </w:p>
          <w:p w14:paraId="7996BBB9" w14:textId="77777777" w:rsidR="00BC6C26" w:rsidRPr="00A76818" w:rsidRDefault="00BC6C26">
            <w:pPr>
              <w:pStyle w:val="paragraph"/>
              <w:numPr>
                <w:ilvl w:val="0"/>
                <w:numId w:val="15"/>
              </w:numPr>
              <w:spacing w:before="0" w:beforeAutospacing="0" w:after="0" w:afterAutospacing="0"/>
              <w:ind w:left="345" w:firstLine="0"/>
              <w:contextualSpacing/>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Style w:val="normaltextrun"/>
                <w:rFonts w:ascii="Calibri" w:hAnsi="Calibri" w:cs="Calibri"/>
                <w:color w:val="000000" w:themeColor="text1"/>
              </w:rPr>
              <w:t>Physical Health</w:t>
            </w:r>
            <w:r w:rsidRPr="00A76818">
              <w:rPr>
                <w:rStyle w:val="eop"/>
                <w:rFonts w:ascii="Calibri" w:hAnsi="Calibri" w:cs="Calibri"/>
                <w:color w:val="000000" w:themeColor="text1"/>
              </w:rPr>
              <w:t> </w:t>
            </w:r>
          </w:p>
          <w:p w14:paraId="26AC97C7" w14:textId="77777777" w:rsidR="00BC6C26" w:rsidRPr="00A76818" w:rsidRDefault="00BC6C26">
            <w:pPr>
              <w:pStyle w:val="paragraph"/>
              <w:numPr>
                <w:ilvl w:val="0"/>
                <w:numId w:val="15"/>
              </w:numPr>
              <w:spacing w:before="0" w:beforeAutospacing="0" w:after="0" w:afterAutospacing="0"/>
              <w:ind w:left="345" w:firstLine="0"/>
              <w:contextualSpacing/>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Style w:val="normaltextrun"/>
                <w:rFonts w:ascii="Calibri" w:hAnsi="Calibri" w:cs="Calibri"/>
                <w:color w:val="000000" w:themeColor="text1"/>
              </w:rPr>
              <w:t>Mental Health</w:t>
            </w:r>
            <w:r w:rsidRPr="00A76818">
              <w:rPr>
                <w:rStyle w:val="eop"/>
                <w:rFonts w:ascii="Calibri" w:hAnsi="Calibri" w:cs="Calibri"/>
                <w:color w:val="000000" w:themeColor="text1"/>
              </w:rPr>
              <w:t> </w:t>
            </w:r>
          </w:p>
          <w:p w14:paraId="4647729A" w14:textId="77777777" w:rsidR="00BC6C26" w:rsidRPr="00A76818" w:rsidRDefault="00BC6C26">
            <w:pPr>
              <w:pStyle w:val="paragraph"/>
              <w:numPr>
                <w:ilvl w:val="0"/>
                <w:numId w:val="15"/>
              </w:numPr>
              <w:spacing w:before="0" w:beforeAutospacing="0" w:after="0" w:afterAutospacing="0"/>
              <w:ind w:left="345" w:firstLine="0"/>
              <w:contextualSpacing/>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Style w:val="normaltextrun"/>
                <w:rFonts w:ascii="Calibri" w:hAnsi="Calibri" w:cs="Calibri"/>
                <w:color w:val="000000" w:themeColor="text1"/>
              </w:rPr>
              <w:t>Substance Use</w:t>
            </w:r>
            <w:r w:rsidRPr="00A76818">
              <w:rPr>
                <w:rStyle w:val="eop"/>
                <w:rFonts w:ascii="Calibri" w:hAnsi="Calibri" w:cs="Calibri"/>
                <w:color w:val="000000" w:themeColor="text1"/>
              </w:rPr>
              <w:t> </w:t>
            </w:r>
          </w:p>
          <w:p w14:paraId="3E045876" w14:textId="77777777" w:rsidR="00BC6C26" w:rsidRPr="00A76818" w:rsidRDefault="00BC6C26">
            <w:pPr>
              <w:pStyle w:val="paragraph"/>
              <w:numPr>
                <w:ilvl w:val="0"/>
                <w:numId w:val="15"/>
              </w:numPr>
              <w:spacing w:before="0" w:beforeAutospacing="0" w:after="0" w:afterAutospacing="0"/>
              <w:ind w:left="345" w:firstLine="0"/>
              <w:contextualSpacing/>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Style w:val="normaltextrun"/>
                <w:rFonts w:ascii="Calibri" w:hAnsi="Calibri" w:cs="Calibri"/>
                <w:color w:val="000000" w:themeColor="text1"/>
              </w:rPr>
              <w:t>Developmental Disability</w:t>
            </w:r>
            <w:r w:rsidRPr="00A76818">
              <w:rPr>
                <w:rStyle w:val="eop"/>
                <w:rFonts w:ascii="Calibri" w:hAnsi="Calibri" w:cs="Calibri"/>
                <w:color w:val="000000" w:themeColor="text1"/>
              </w:rPr>
              <w:t> </w:t>
            </w:r>
          </w:p>
        </w:tc>
      </w:tr>
      <w:tr w:rsidR="00BC6C26" w:rsidRPr="00A76818" w14:paraId="72796B1D" w14:textId="77777777" w:rsidTr="00271B9B">
        <w:trPr>
          <w:trHeight w:val="234"/>
        </w:trPr>
        <w:tc>
          <w:tcPr>
            <w:cnfStyle w:val="001000000000" w:firstRow="0" w:lastRow="0" w:firstColumn="1" w:lastColumn="0" w:oddVBand="0" w:evenVBand="0" w:oddHBand="0" w:evenHBand="0" w:firstRowFirstColumn="0" w:firstRowLastColumn="0" w:lastRowFirstColumn="0" w:lastRowLastColumn="0"/>
            <w:tcW w:w="4711" w:type="dxa"/>
            <w:vMerge w:val="restart"/>
          </w:tcPr>
          <w:p w14:paraId="087D97B6" w14:textId="77777777" w:rsidR="00BC6C26" w:rsidRPr="00A76818" w:rsidRDefault="00BC6C26" w:rsidP="000604EE">
            <w:pPr>
              <w:contextualSpacing/>
              <w:rPr>
                <w:rFonts w:ascii="Calibri" w:hAnsi="Calibri" w:cs="Calibri"/>
                <w:b w:val="0"/>
                <w:bCs w:val="0"/>
                <w:color w:val="000000" w:themeColor="text1"/>
              </w:rPr>
            </w:pPr>
            <w:r w:rsidRPr="00A76818">
              <w:rPr>
                <w:rFonts w:ascii="Calibri" w:hAnsi="Calibri" w:cs="Calibri"/>
                <w:b w:val="0"/>
                <w:bCs w:val="0"/>
                <w:color w:val="000000" w:themeColor="text1"/>
              </w:rPr>
              <w:t>Priority 3</w:t>
            </w:r>
          </w:p>
        </w:tc>
        <w:tc>
          <w:tcPr>
            <w:tcW w:w="7434" w:type="dxa"/>
            <w:shd w:val="clear" w:color="auto" w:fill="FFFFFF" w:themeFill="background1"/>
          </w:tcPr>
          <w:p w14:paraId="5531CC5A" w14:textId="77777777" w:rsidR="00BC6C26" w:rsidRPr="00A76818" w:rsidRDefault="00BC6C2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VI-SPDAT Score: 8+ </w:t>
            </w:r>
          </w:p>
        </w:tc>
      </w:tr>
      <w:tr w:rsidR="00BC6C26" w:rsidRPr="00A76818" w14:paraId="00725C14" w14:textId="77777777" w:rsidTr="00271B9B">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4711" w:type="dxa"/>
            <w:vMerge/>
          </w:tcPr>
          <w:p w14:paraId="370F303F" w14:textId="77777777" w:rsidR="00BC6C26" w:rsidRPr="00A76818" w:rsidRDefault="00BC6C26" w:rsidP="000604EE">
            <w:pPr>
              <w:contextualSpacing/>
              <w:rPr>
                <w:rFonts w:ascii="Calibri" w:hAnsi="Calibri" w:cs="Calibri"/>
                <w:b w:val="0"/>
                <w:bCs w:val="0"/>
                <w:color w:val="000000" w:themeColor="text1"/>
              </w:rPr>
            </w:pPr>
          </w:p>
        </w:tc>
        <w:tc>
          <w:tcPr>
            <w:tcW w:w="7434" w:type="dxa"/>
            <w:shd w:val="clear" w:color="auto" w:fill="FFFFFF" w:themeFill="background1"/>
          </w:tcPr>
          <w:p w14:paraId="5CBAAC57" w14:textId="77777777" w:rsidR="00BC6C26" w:rsidRPr="00A76818" w:rsidRDefault="00BC6C2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Style w:val="normaltextrun"/>
                <w:rFonts w:ascii="Calibri" w:hAnsi="Calibri" w:cs="Calibri"/>
                <w:color w:val="000000" w:themeColor="text1"/>
                <w:shd w:val="clear" w:color="auto" w:fill="FFFFFF"/>
              </w:rPr>
              <w:t>Chronic Homelessness</w:t>
            </w:r>
            <w:r w:rsidRPr="00A76818">
              <w:rPr>
                <w:rStyle w:val="eop"/>
                <w:rFonts w:ascii="Calibri" w:hAnsi="Calibri" w:cs="Calibri"/>
                <w:color w:val="000000" w:themeColor="text1"/>
                <w:shd w:val="clear" w:color="auto" w:fill="FFFFFF"/>
              </w:rPr>
              <w:t> </w:t>
            </w:r>
          </w:p>
        </w:tc>
      </w:tr>
      <w:tr w:rsidR="00BC6C26" w:rsidRPr="00A76818" w14:paraId="6E2581AC" w14:textId="77777777" w:rsidTr="00271B9B">
        <w:trPr>
          <w:trHeight w:val="1143"/>
        </w:trPr>
        <w:tc>
          <w:tcPr>
            <w:cnfStyle w:val="001000000000" w:firstRow="0" w:lastRow="0" w:firstColumn="1" w:lastColumn="0" w:oddVBand="0" w:evenVBand="0" w:oddHBand="0" w:evenHBand="0" w:firstRowFirstColumn="0" w:firstRowLastColumn="0" w:lastRowFirstColumn="0" w:lastRowLastColumn="0"/>
            <w:tcW w:w="4711" w:type="dxa"/>
            <w:vMerge/>
          </w:tcPr>
          <w:p w14:paraId="3E430FE8" w14:textId="77777777" w:rsidR="00BC6C26" w:rsidRPr="00A76818" w:rsidRDefault="00BC6C26" w:rsidP="000604EE">
            <w:pPr>
              <w:contextualSpacing/>
              <w:rPr>
                <w:rFonts w:ascii="Calibri" w:hAnsi="Calibri" w:cs="Calibri"/>
                <w:b w:val="0"/>
                <w:bCs w:val="0"/>
                <w:color w:val="000000" w:themeColor="text1"/>
              </w:rPr>
            </w:pPr>
          </w:p>
        </w:tc>
        <w:tc>
          <w:tcPr>
            <w:tcW w:w="7434" w:type="dxa"/>
          </w:tcPr>
          <w:p w14:paraId="2DC60A4E" w14:textId="77777777" w:rsidR="00BC6C26" w:rsidRPr="00A76818" w:rsidRDefault="00BC6C26" w:rsidP="000604EE">
            <w:pPr>
              <w:pStyle w:val="paragraph"/>
              <w:spacing w:before="0" w:beforeAutospacing="0" w:after="0" w:afterAutospacing="0"/>
              <w:contextualSpacing/>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Style w:val="normaltextrun"/>
                <w:rFonts w:ascii="Calibri" w:hAnsi="Calibri" w:cs="Calibri"/>
                <w:color w:val="000000" w:themeColor="text1"/>
              </w:rPr>
              <w:t>1 HUD Disabling Condition:</w:t>
            </w:r>
            <w:r w:rsidRPr="00A76818">
              <w:rPr>
                <w:rStyle w:val="eop"/>
                <w:rFonts w:ascii="Calibri" w:hAnsi="Calibri" w:cs="Calibri"/>
                <w:color w:val="000000" w:themeColor="text1"/>
              </w:rPr>
              <w:t> </w:t>
            </w:r>
          </w:p>
          <w:p w14:paraId="21861B2B" w14:textId="77777777" w:rsidR="00BC6C26" w:rsidRPr="00A76818" w:rsidRDefault="00BC6C26">
            <w:pPr>
              <w:pStyle w:val="paragraph"/>
              <w:numPr>
                <w:ilvl w:val="0"/>
                <w:numId w:val="16"/>
              </w:numPr>
              <w:spacing w:before="0" w:beforeAutospacing="0" w:after="0" w:afterAutospacing="0"/>
              <w:ind w:left="345" w:firstLine="0"/>
              <w:contextualSpacing/>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Style w:val="normaltextrun"/>
                <w:rFonts w:ascii="Calibri" w:hAnsi="Calibri" w:cs="Calibri"/>
                <w:color w:val="000000" w:themeColor="text1"/>
              </w:rPr>
              <w:t>Physical Health</w:t>
            </w:r>
            <w:r w:rsidRPr="00A76818">
              <w:rPr>
                <w:rStyle w:val="eop"/>
                <w:rFonts w:ascii="Calibri" w:hAnsi="Calibri" w:cs="Calibri"/>
                <w:color w:val="000000" w:themeColor="text1"/>
              </w:rPr>
              <w:t> </w:t>
            </w:r>
          </w:p>
          <w:p w14:paraId="30CD0961" w14:textId="77777777" w:rsidR="00BC6C26" w:rsidRPr="00A76818" w:rsidRDefault="00BC6C26">
            <w:pPr>
              <w:pStyle w:val="paragraph"/>
              <w:numPr>
                <w:ilvl w:val="0"/>
                <w:numId w:val="16"/>
              </w:numPr>
              <w:spacing w:before="0" w:beforeAutospacing="0" w:after="0" w:afterAutospacing="0"/>
              <w:ind w:left="345" w:firstLine="0"/>
              <w:contextualSpacing/>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Style w:val="normaltextrun"/>
                <w:rFonts w:ascii="Calibri" w:hAnsi="Calibri" w:cs="Calibri"/>
                <w:color w:val="000000" w:themeColor="text1"/>
              </w:rPr>
              <w:t>Mental Health</w:t>
            </w:r>
            <w:r w:rsidRPr="00A76818">
              <w:rPr>
                <w:rStyle w:val="eop"/>
                <w:rFonts w:ascii="Calibri" w:hAnsi="Calibri" w:cs="Calibri"/>
                <w:color w:val="000000" w:themeColor="text1"/>
              </w:rPr>
              <w:t> </w:t>
            </w:r>
          </w:p>
          <w:p w14:paraId="44ED9006" w14:textId="77777777" w:rsidR="00BC6C26" w:rsidRPr="00A76818" w:rsidRDefault="00BC6C26">
            <w:pPr>
              <w:pStyle w:val="paragraph"/>
              <w:numPr>
                <w:ilvl w:val="0"/>
                <w:numId w:val="16"/>
              </w:numPr>
              <w:spacing w:before="0" w:beforeAutospacing="0" w:after="0" w:afterAutospacing="0"/>
              <w:ind w:left="345" w:firstLine="0"/>
              <w:contextualSpacing/>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Style w:val="normaltextrun"/>
                <w:rFonts w:ascii="Calibri" w:hAnsi="Calibri" w:cs="Calibri"/>
                <w:color w:val="000000" w:themeColor="text1"/>
              </w:rPr>
              <w:t>Substance Use</w:t>
            </w:r>
            <w:r w:rsidRPr="00A76818">
              <w:rPr>
                <w:rStyle w:val="eop"/>
                <w:rFonts w:ascii="Calibri" w:hAnsi="Calibri" w:cs="Calibri"/>
                <w:color w:val="000000" w:themeColor="text1"/>
              </w:rPr>
              <w:t> </w:t>
            </w:r>
          </w:p>
          <w:p w14:paraId="68BB2273" w14:textId="77777777" w:rsidR="00BC6C26" w:rsidRPr="00A76818" w:rsidRDefault="00BC6C26">
            <w:pPr>
              <w:pStyle w:val="paragraph"/>
              <w:numPr>
                <w:ilvl w:val="0"/>
                <w:numId w:val="16"/>
              </w:numPr>
              <w:spacing w:before="0" w:beforeAutospacing="0" w:after="0" w:afterAutospacing="0"/>
              <w:ind w:left="345" w:firstLine="0"/>
              <w:contextualSpacing/>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Style w:val="normaltextrun"/>
                <w:rFonts w:ascii="Calibri" w:hAnsi="Calibri" w:cs="Calibri"/>
                <w:color w:val="000000" w:themeColor="text1"/>
              </w:rPr>
              <w:t>Developmental Disability</w:t>
            </w:r>
            <w:r w:rsidRPr="00A76818">
              <w:rPr>
                <w:rStyle w:val="eop"/>
                <w:rFonts w:ascii="Calibri" w:hAnsi="Calibri" w:cs="Calibri"/>
                <w:color w:val="000000" w:themeColor="text1"/>
              </w:rPr>
              <w:t> </w:t>
            </w:r>
          </w:p>
        </w:tc>
      </w:tr>
      <w:tr w:rsidR="00442BDB" w:rsidRPr="00A76818" w14:paraId="3E303A6D" w14:textId="77777777" w:rsidTr="00271B9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711" w:type="dxa"/>
            <w:shd w:val="clear" w:color="auto" w:fill="FBE7D0"/>
          </w:tcPr>
          <w:p w14:paraId="2FEC92E7" w14:textId="77777777" w:rsidR="00BC6C26" w:rsidRPr="00A76818" w:rsidRDefault="00BC6C26" w:rsidP="000604EE">
            <w:pPr>
              <w:contextualSpacing/>
              <w:rPr>
                <w:rFonts w:ascii="Calibri" w:hAnsi="Calibri" w:cs="Calibri"/>
                <w:b w:val="0"/>
                <w:bCs w:val="0"/>
                <w:color w:val="000000" w:themeColor="text1"/>
              </w:rPr>
            </w:pPr>
            <w:r w:rsidRPr="00A76818">
              <w:rPr>
                <w:rFonts w:ascii="Calibri" w:hAnsi="Calibri" w:cs="Calibri"/>
                <w:b w:val="0"/>
                <w:bCs w:val="0"/>
                <w:color w:val="000000" w:themeColor="text1"/>
              </w:rPr>
              <w:t>Priority 4</w:t>
            </w:r>
          </w:p>
        </w:tc>
        <w:tc>
          <w:tcPr>
            <w:tcW w:w="7434" w:type="dxa"/>
            <w:shd w:val="clear" w:color="auto" w:fill="FBE7D0"/>
          </w:tcPr>
          <w:p w14:paraId="21CC85A8" w14:textId="77777777" w:rsidR="00BC6C26" w:rsidRPr="00A76818" w:rsidRDefault="00BC6C2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VI-SPDAT Score: 8+ </w:t>
            </w:r>
          </w:p>
        </w:tc>
      </w:tr>
    </w:tbl>
    <w:p w14:paraId="37200AAA" w14:textId="77777777" w:rsidR="00A76818" w:rsidRDefault="00A76818" w:rsidP="00FC037D"/>
    <w:p w14:paraId="4DC6CCDD" w14:textId="7FCB58F1" w:rsidR="00BC6C26" w:rsidRPr="0061434B" w:rsidRDefault="00BC6C26">
      <w:pPr>
        <w:pStyle w:val="Heading2"/>
        <w:numPr>
          <w:ilvl w:val="0"/>
          <w:numId w:val="25"/>
        </w:numPr>
        <w:spacing w:before="0" w:line="240" w:lineRule="auto"/>
        <w:contextualSpacing/>
        <w:rPr>
          <w:color w:val="0070C0"/>
        </w:rPr>
      </w:pPr>
      <w:bookmarkStart w:id="162" w:name="_Toc124255069"/>
      <w:r w:rsidRPr="0061434B">
        <w:rPr>
          <w:color w:val="0070C0"/>
        </w:rPr>
        <w:t>Housing Requirements</w:t>
      </w:r>
      <w:bookmarkEnd w:id="162"/>
      <w:r w:rsidRPr="0061434B">
        <w:rPr>
          <w:color w:val="0070C0"/>
        </w:rPr>
        <w:t xml:space="preserve"> </w:t>
      </w:r>
    </w:p>
    <w:p w14:paraId="5EAE1446" w14:textId="77777777" w:rsidR="00BC6C26" w:rsidRPr="00A76818" w:rsidRDefault="00BC6C26">
      <w:pPr>
        <w:pStyle w:val="ListParagraph"/>
        <w:numPr>
          <w:ilvl w:val="0"/>
          <w:numId w:val="47"/>
        </w:numPr>
        <w:rPr>
          <w:rFonts w:ascii="Calibri" w:hAnsi="Calibri"/>
          <w:color w:val="000000" w:themeColor="text1"/>
        </w:rPr>
      </w:pPr>
      <w:r w:rsidRPr="00A76818">
        <w:rPr>
          <w:rFonts w:ascii="Calibri" w:hAnsi="Calibri"/>
          <w:color w:val="000000" w:themeColor="text1"/>
        </w:rPr>
        <w:t xml:space="preserve">Inspection Requirements </w:t>
      </w:r>
    </w:p>
    <w:p w14:paraId="191307D0" w14:textId="77777777" w:rsidR="00CC61AB" w:rsidRDefault="00BC6C26">
      <w:pPr>
        <w:pStyle w:val="ListParagraph"/>
        <w:numPr>
          <w:ilvl w:val="2"/>
          <w:numId w:val="13"/>
        </w:numPr>
        <w:rPr>
          <w:rFonts w:ascii="Calibri" w:hAnsi="Calibri"/>
          <w:color w:val="000000" w:themeColor="text1"/>
        </w:rPr>
      </w:pPr>
      <w:r w:rsidRPr="00A76818">
        <w:rPr>
          <w:rFonts w:ascii="Calibri" w:hAnsi="Calibri"/>
          <w:color w:val="000000" w:themeColor="text1"/>
        </w:rPr>
        <w:t>All CoC</w:t>
      </w:r>
      <w:r w:rsidR="00434989" w:rsidRPr="00A76818">
        <w:rPr>
          <w:rFonts w:ascii="Calibri" w:hAnsi="Calibri"/>
          <w:color w:val="000000" w:themeColor="text1"/>
        </w:rPr>
        <w:t xml:space="preserve"> </w:t>
      </w:r>
      <w:r w:rsidRPr="00A76818">
        <w:rPr>
          <w:rFonts w:ascii="Calibri" w:hAnsi="Calibri"/>
          <w:color w:val="000000" w:themeColor="text1"/>
        </w:rPr>
        <w:t xml:space="preserve">housing, including permanent supportive housing and rapid </w:t>
      </w:r>
      <w:r w:rsidR="007D509A" w:rsidRPr="00A76818">
        <w:rPr>
          <w:rFonts w:ascii="Calibri" w:hAnsi="Calibri"/>
          <w:color w:val="000000" w:themeColor="text1"/>
        </w:rPr>
        <w:t>re-housing</w:t>
      </w:r>
      <w:r w:rsidR="00434989" w:rsidRPr="00A76818">
        <w:rPr>
          <w:rFonts w:ascii="Calibri" w:hAnsi="Calibri"/>
          <w:color w:val="000000" w:themeColor="text1"/>
        </w:rPr>
        <w:t>,</w:t>
      </w:r>
      <w:r w:rsidRPr="00A76818">
        <w:rPr>
          <w:rFonts w:ascii="Calibri" w:hAnsi="Calibri"/>
          <w:color w:val="000000" w:themeColor="text1"/>
        </w:rPr>
        <w:t xml:space="preserve"> must meet applicable housing quality standards (HQS) under 24 CFR § 578.75(b). HQS requirements are contained within 24 CFR § 982.401, which state the performance and acceptability criteria for the key aspects of housing quality listed in Table 11.1. </w:t>
      </w:r>
    </w:p>
    <w:p w14:paraId="39612F0D" w14:textId="03A1BAA5" w:rsidR="00CC61AB" w:rsidRPr="00CC61AB" w:rsidRDefault="00CC61AB">
      <w:pPr>
        <w:pStyle w:val="ListParagraph"/>
        <w:numPr>
          <w:ilvl w:val="2"/>
          <w:numId w:val="13"/>
        </w:numPr>
        <w:rPr>
          <w:rFonts w:ascii="Calibri" w:hAnsi="Calibri"/>
          <w:color w:val="000000" w:themeColor="text1"/>
        </w:rPr>
      </w:pPr>
      <w:r w:rsidRPr="00CC61AB">
        <w:rPr>
          <w:rFonts w:ascii="Calibri" w:hAnsi="Calibri"/>
          <w:color w:val="000000" w:themeColor="text1"/>
        </w:rPr>
        <w:t xml:space="preserve">All </w:t>
      </w:r>
      <w:r>
        <w:rPr>
          <w:rFonts w:ascii="Calibri" w:hAnsi="Calibri"/>
          <w:color w:val="000000" w:themeColor="text1"/>
        </w:rPr>
        <w:t>permanent supportive housing</w:t>
      </w:r>
      <w:r w:rsidRPr="00CC61AB">
        <w:rPr>
          <w:rFonts w:ascii="Calibri" w:hAnsi="Calibri"/>
          <w:color w:val="000000" w:themeColor="text1"/>
        </w:rPr>
        <w:t xml:space="preserve"> must also comply with the “Housing Requirements” (pg. 9-13), as applicable. </w:t>
      </w:r>
    </w:p>
    <w:p w14:paraId="62107618" w14:textId="46917210" w:rsidR="004961C6" w:rsidRPr="00A76818" w:rsidRDefault="004961C6">
      <w:pPr>
        <w:pStyle w:val="ListParagraph"/>
        <w:numPr>
          <w:ilvl w:val="0"/>
          <w:numId w:val="47"/>
        </w:numPr>
        <w:rPr>
          <w:rFonts w:ascii="Calibri" w:hAnsi="Calibri"/>
          <w:color w:val="000000" w:themeColor="text1"/>
        </w:rPr>
      </w:pPr>
      <w:r w:rsidRPr="00A76818">
        <w:rPr>
          <w:rFonts w:ascii="Calibri" w:hAnsi="Calibri"/>
          <w:color w:val="000000" w:themeColor="text1"/>
        </w:rPr>
        <w:t>Rental Assistance</w:t>
      </w:r>
    </w:p>
    <w:p w14:paraId="1A70EC24" w14:textId="15D4D8A6" w:rsidR="004961C6" w:rsidRPr="00A76818" w:rsidRDefault="004961C6">
      <w:pPr>
        <w:pStyle w:val="ListParagraph"/>
        <w:numPr>
          <w:ilvl w:val="0"/>
          <w:numId w:val="48"/>
        </w:numPr>
        <w:autoSpaceDE w:val="0"/>
        <w:autoSpaceDN w:val="0"/>
        <w:adjustRightInd w:val="0"/>
        <w:rPr>
          <w:rFonts w:ascii="Calibri" w:hAnsi="Calibri"/>
          <w:color w:val="000000" w:themeColor="text1"/>
        </w:rPr>
      </w:pPr>
      <w:r w:rsidRPr="00A76818">
        <w:rPr>
          <w:rFonts w:ascii="Calibri" w:hAnsi="Calibri"/>
          <w:color w:val="000000" w:themeColor="text1"/>
        </w:rPr>
        <w:t>Rental assistance funds may be used to provide</w:t>
      </w:r>
      <w:r w:rsidR="00434989" w:rsidRPr="00A76818">
        <w:rPr>
          <w:rFonts w:ascii="Calibri" w:hAnsi="Calibri"/>
          <w:color w:val="000000" w:themeColor="text1"/>
        </w:rPr>
        <w:t xml:space="preserve"> households</w:t>
      </w:r>
      <w:r w:rsidRPr="00A76818">
        <w:rPr>
          <w:rFonts w:ascii="Calibri" w:hAnsi="Calibri"/>
          <w:color w:val="000000" w:themeColor="text1"/>
        </w:rPr>
        <w:t xml:space="preserve"> with short-, medium- or long-term rental assistance as outlined below. Rental assistance cannot be provided to </w:t>
      </w:r>
      <w:r w:rsidR="00434989" w:rsidRPr="00A76818">
        <w:rPr>
          <w:rFonts w:ascii="Calibri" w:hAnsi="Calibri"/>
          <w:color w:val="000000" w:themeColor="text1"/>
        </w:rPr>
        <w:t xml:space="preserve">households </w:t>
      </w:r>
      <w:r w:rsidRPr="00A76818">
        <w:rPr>
          <w:rFonts w:ascii="Calibri" w:hAnsi="Calibri"/>
          <w:color w:val="000000" w:themeColor="text1"/>
        </w:rPr>
        <w:t>who are already receiving rental assistance</w:t>
      </w:r>
      <w:r w:rsidR="00434989" w:rsidRPr="00A76818">
        <w:rPr>
          <w:rFonts w:ascii="Calibri" w:hAnsi="Calibri"/>
          <w:color w:val="000000" w:themeColor="text1"/>
        </w:rPr>
        <w:t xml:space="preserve"> </w:t>
      </w:r>
      <w:r w:rsidRPr="00A76818">
        <w:rPr>
          <w:rFonts w:ascii="Calibri" w:hAnsi="Calibri"/>
          <w:color w:val="000000" w:themeColor="text1"/>
        </w:rPr>
        <w:t>or</w:t>
      </w:r>
      <w:r w:rsidR="00434989" w:rsidRPr="00A76818">
        <w:rPr>
          <w:rFonts w:ascii="Calibri" w:hAnsi="Calibri"/>
          <w:color w:val="000000" w:themeColor="text1"/>
        </w:rPr>
        <w:t xml:space="preserve"> are</w:t>
      </w:r>
      <w:r w:rsidRPr="00A76818">
        <w:rPr>
          <w:rFonts w:ascii="Calibri" w:hAnsi="Calibri"/>
          <w:color w:val="000000" w:themeColor="text1"/>
        </w:rPr>
        <w:t xml:space="preserve"> living in a housing unit receiving rental assistance or operating assistance through other federal, state, or local sources</w:t>
      </w:r>
      <w:r w:rsidR="00AF17DC" w:rsidRPr="00A76818">
        <w:rPr>
          <w:rFonts w:ascii="Calibri" w:hAnsi="Calibri"/>
          <w:color w:val="000000" w:themeColor="text1"/>
        </w:rPr>
        <w:t>, excluding transfers between programs.</w:t>
      </w:r>
    </w:p>
    <w:p w14:paraId="7C7F71B6" w14:textId="33514398" w:rsidR="004961C6" w:rsidRPr="00A76818" w:rsidRDefault="004961C6">
      <w:pPr>
        <w:pStyle w:val="ListParagraph"/>
        <w:numPr>
          <w:ilvl w:val="0"/>
          <w:numId w:val="48"/>
        </w:numPr>
        <w:autoSpaceDE w:val="0"/>
        <w:autoSpaceDN w:val="0"/>
        <w:adjustRightInd w:val="0"/>
        <w:rPr>
          <w:rFonts w:ascii="Calibri" w:hAnsi="Calibri"/>
          <w:color w:val="000000" w:themeColor="text1"/>
        </w:rPr>
      </w:pPr>
      <w:r w:rsidRPr="00A76818">
        <w:rPr>
          <w:rFonts w:ascii="Calibri" w:hAnsi="Calibri"/>
          <w:color w:val="000000" w:themeColor="text1"/>
        </w:rPr>
        <w:t xml:space="preserve">Administering </w:t>
      </w:r>
      <w:r w:rsidR="00434989" w:rsidRPr="00A76818">
        <w:rPr>
          <w:rFonts w:ascii="Calibri" w:hAnsi="Calibri"/>
          <w:color w:val="000000" w:themeColor="text1"/>
        </w:rPr>
        <w:t>r</w:t>
      </w:r>
      <w:r w:rsidRPr="00A76818">
        <w:rPr>
          <w:rFonts w:ascii="Calibri" w:hAnsi="Calibri"/>
          <w:color w:val="000000" w:themeColor="text1"/>
        </w:rPr>
        <w:t xml:space="preserve">ental </w:t>
      </w:r>
      <w:r w:rsidR="00434989" w:rsidRPr="00A76818">
        <w:rPr>
          <w:rFonts w:ascii="Calibri" w:hAnsi="Calibri"/>
          <w:color w:val="000000" w:themeColor="text1"/>
        </w:rPr>
        <w:t>a</w:t>
      </w:r>
      <w:r w:rsidRPr="00A76818">
        <w:rPr>
          <w:rFonts w:ascii="Calibri" w:hAnsi="Calibri"/>
          <w:color w:val="000000" w:themeColor="text1"/>
        </w:rPr>
        <w:t>ssistance</w:t>
      </w:r>
      <w:r w:rsidR="00434989" w:rsidRPr="00A76818">
        <w:rPr>
          <w:rFonts w:ascii="Calibri" w:hAnsi="Calibri"/>
          <w:color w:val="000000" w:themeColor="text1"/>
        </w:rPr>
        <w:t>,</w:t>
      </w:r>
      <w:r w:rsidRPr="00A76818">
        <w:rPr>
          <w:rFonts w:ascii="Calibri" w:hAnsi="Calibri"/>
          <w:color w:val="000000" w:themeColor="text1"/>
        </w:rPr>
        <w:t xml:space="preserve"> </w:t>
      </w:r>
      <w:r w:rsidR="00434989" w:rsidRPr="00A76818">
        <w:rPr>
          <w:rFonts w:ascii="Calibri" w:hAnsi="Calibri"/>
          <w:color w:val="000000" w:themeColor="text1"/>
        </w:rPr>
        <w:t>c</w:t>
      </w:r>
      <w:r w:rsidRPr="00A76818">
        <w:rPr>
          <w:rFonts w:ascii="Calibri" w:hAnsi="Calibri"/>
          <w:color w:val="000000" w:themeColor="text1"/>
        </w:rPr>
        <w:t>ontracting for</w:t>
      </w:r>
      <w:r w:rsidR="00434989" w:rsidRPr="00A76818">
        <w:rPr>
          <w:rFonts w:ascii="Calibri" w:hAnsi="Calibri"/>
          <w:color w:val="000000" w:themeColor="text1"/>
        </w:rPr>
        <w:t xml:space="preserve"> rental assistance,</w:t>
      </w:r>
      <w:r w:rsidRPr="00A76818">
        <w:rPr>
          <w:rFonts w:ascii="Calibri" w:hAnsi="Calibri"/>
          <w:color w:val="000000" w:themeColor="text1"/>
        </w:rPr>
        <w:t xml:space="preserve"> and making rental assistance payments to landlords, as well as conducting Housing Quality Standards (HQS) Inspections </w:t>
      </w:r>
      <w:r w:rsidR="00C777B8" w:rsidRPr="00A76818">
        <w:rPr>
          <w:rFonts w:ascii="Calibri" w:hAnsi="Calibri"/>
          <w:color w:val="000000" w:themeColor="text1"/>
        </w:rPr>
        <w:t>are</w:t>
      </w:r>
      <w:r w:rsidRPr="00A76818">
        <w:rPr>
          <w:rFonts w:ascii="Calibri" w:hAnsi="Calibri"/>
          <w:color w:val="000000" w:themeColor="text1"/>
        </w:rPr>
        <w:t xml:space="preserve"> a service delivery cost of rental assistance and is therefore an eligible cost under this section. </w:t>
      </w:r>
    </w:p>
    <w:p w14:paraId="1E7D6BC4" w14:textId="4003390A" w:rsidR="004961C6" w:rsidRPr="00A76818" w:rsidRDefault="004961C6">
      <w:pPr>
        <w:pStyle w:val="ListParagraph"/>
        <w:numPr>
          <w:ilvl w:val="0"/>
          <w:numId w:val="48"/>
        </w:numPr>
        <w:autoSpaceDE w:val="0"/>
        <w:autoSpaceDN w:val="0"/>
        <w:adjustRightInd w:val="0"/>
        <w:rPr>
          <w:rFonts w:ascii="Calibri" w:hAnsi="Calibri"/>
          <w:color w:val="000000" w:themeColor="text1"/>
        </w:rPr>
      </w:pPr>
      <w:r w:rsidRPr="00A76818">
        <w:rPr>
          <w:rFonts w:ascii="Calibri" w:hAnsi="Calibri"/>
          <w:color w:val="000000" w:themeColor="text1"/>
        </w:rPr>
        <w:t>Other eligible costs of administering rental assistance include</w:t>
      </w:r>
      <w:r w:rsidR="00434989" w:rsidRPr="00A76818">
        <w:rPr>
          <w:rFonts w:ascii="Calibri" w:hAnsi="Calibri"/>
          <w:color w:val="000000" w:themeColor="text1"/>
        </w:rPr>
        <w:t xml:space="preserve"> </w:t>
      </w:r>
      <w:r w:rsidRPr="00A76818">
        <w:rPr>
          <w:rFonts w:ascii="Calibri" w:hAnsi="Calibri"/>
          <w:color w:val="000000" w:themeColor="text1"/>
        </w:rPr>
        <w:t xml:space="preserve">examining </w:t>
      </w:r>
      <w:r w:rsidR="00434989" w:rsidRPr="00A76818">
        <w:rPr>
          <w:rFonts w:ascii="Calibri" w:hAnsi="Calibri"/>
          <w:color w:val="000000" w:themeColor="text1"/>
        </w:rPr>
        <w:t>household</w:t>
      </w:r>
      <w:r w:rsidRPr="00A76818">
        <w:rPr>
          <w:rFonts w:ascii="Calibri" w:hAnsi="Calibri"/>
          <w:color w:val="000000" w:themeColor="text1"/>
        </w:rPr>
        <w:t xml:space="preserve"> income and family composition; providing housing information and assistance; and receiving new </w:t>
      </w:r>
      <w:r w:rsidR="00434989" w:rsidRPr="00A76818">
        <w:rPr>
          <w:rFonts w:ascii="Calibri" w:hAnsi="Calibri"/>
          <w:color w:val="000000" w:themeColor="text1"/>
        </w:rPr>
        <w:t xml:space="preserve">households </w:t>
      </w:r>
      <w:r w:rsidRPr="00A76818">
        <w:rPr>
          <w:rFonts w:ascii="Calibri" w:hAnsi="Calibri"/>
          <w:color w:val="000000" w:themeColor="text1"/>
        </w:rPr>
        <w:t>into the program.</w:t>
      </w:r>
    </w:p>
    <w:p w14:paraId="56B01B0F" w14:textId="77777777" w:rsidR="003C1BD2" w:rsidRPr="000604EE" w:rsidRDefault="003C1BD2" w:rsidP="000604EE">
      <w:pPr>
        <w:pStyle w:val="ListParagraph"/>
        <w:autoSpaceDE w:val="0"/>
        <w:autoSpaceDN w:val="0"/>
        <w:adjustRightInd w:val="0"/>
        <w:ind w:left="2160"/>
        <w:rPr>
          <w:rFonts w:ascii="Calibri" w:hAnsi="Calibri"/>
          <w:color w:val="000000" w:themeColor="text1"/>
          <w:sz w:val="20"/>
          <w:szCs w:val="20"/>
        </w:rPr>
      </w:pPr>
    </w:p>
    <w:tbl>
      <w:tblPr>
        <w:tblStyle w:val="GridTable4-Accent1"/>
        <w:tblW w:w="0" w:type="auto"/>
        <w:tblLook w:val="04A0" w:firstRow="1" w:lastRow="0" w:firstColumn="1" w:lastColumn="0" w:noHBand="0" w:noVBand="1"/>
      </w:tblPr>
      <w:tblGrid>
        <w:gridCol w:w="3116"/>
        <w:gridCol w:w="2251"/>
        <w:gridCol w:w="3088"/>
        <w:gridCol w:w="4410"/>
      </w:tblGrid>
      <w:tr w:rsidR="00442BDB" w:rsidRPr="000604EE" w14:paraId="18FA6AB3" w14:textId="77777777" w:rsidTr="00271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4"/>
          </w:tcPr>
          <w:p w14:paraId="4C9C0862" w14:textId="77777777" w:rsidR="004961C6" w:rsidRPr="00A76818" w:rsidRDefault="004961C6"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CoC Rental Assistance – Eligible Costs</w:t>
            </w:r>
          </w:p>
        </w:tc>
      </w:tr>
      <w:tr w:rsidR="00442BDB" w:rsidRPr="000604EE" w14:paraId="6BC5D16F" w14:textId="77777777" w:rsidTr="0027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4"/>
          </w:tcPr>
          <w:p w14:paraId="59DC195C" w14:textId="77777777" w:rsidR="004961C6" w:rsidRPr="00A76818" w:rsidRDefault="004961C6"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lastRenderedPageBreak/>
              <w:t>Length of Housing Assistance</w:t>
            </w:r>
          </w:p>
        </w:tc>
      </w:tr>
      <w:tr w:rsidR="00442BDB" w:rsidRPr="000604EE" w14:paraId="6BB22D34" w14:textId="77777777" w:rsidTr="00271B9B">
        <w:tc>
          <w:tcPr>
            <w:cnfStyle w:val="001000000000" w:firstRow="0" w:lastRow="0" w:firstColumn="1" w:lastColumn="0" w:oddVBand="0" w:evenVBand="0" w:oddHBand="0" w:evenHBand="0" w:firstRowFirstColumn="0" w:firstRowLastColumn="0" w:lastRowFirstColumn="0" w:lastRowLastColumn="0"/>
            <w:tcW w:w="3116" w:type="dxa"/>
          </w:tcPr>
          <w:p w14:paraId="1F00888F" w14:textId="77777777" w:rsidR="004961C6" w:rsidRPr="00A76818" w:rsidRDefault="004961C6"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Short-Term (up to 3 months)</w:t>
            </w:r>
          </w:p>
        </w:tc>
        <w:tc>
          <w:tcPr>
            <w:tcW w:w="5339" w:type="dxa"/>
            <w:gridSpan w:val="2"/>
          </w:tcPr>
          <w:p w14:paraId="7283ABE4" w14:textId="77777777" w:rsidR="004961C6" w:rsidRPr="00A76818" w:rsidRDefault="004961C6"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Medium-Term</w:t>
            </w:r>
          </w:p>
          <w:p w14:paraId="406630C8" w14:textId="77777777" w:rsidR="004961C6" w:rsidRPr="00A76818" w:rsidRDefault="004961C6"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w:t>
            </w:r>
            <w:proofErr w:type="gramStart"/>
            <w:r w:rsidRPr="00A76818">
              <w:rPr>
                <w:rFonts w:ascii="Calibri" w:hAnsi="Calibri" w:cs="Calibri"/>
                <w:color w:val="000000" w:themeColor="text1"/>
              </w:rPr>
              <w:t>from</w:t>
            </w:r>
            <w:proofErr w:type="gramEnd"/>
            <w:r w:rsidRPr="00A76818">
              <w:rPr>
                <w:rFonts w:ascii="Calibri" w:hAnsi="Calibri" w:cs="Calibri"/>
                <w:color w:val="000000" w:themeColor="text1"/>
              </w:rPr>
              <w:t xml:space="preserve"> 3 to 24 months)</w:t>
            </w:r>
          </w:p>
        </w:tc>
        <w:tc>
          <w:tcPr>
            <w:tcW w:w="4410" w:type="dxa"/>
          </w:tcPr>
          <w:p w14:paraId="2B6A3250" w14:textId="77777777" w:rsidR="004961C6" w:rsidRPr="00A76818" w:rsidRDefault="004961C6"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Long-Term</w:t>
            </w:r>
          </w:p>
          <w:p w14:paraId="2418EFBF" w14:textId="77777777" w:rsidR="004961C6" w:rsidRPr="00A76818" w:rsidRDefault="004961C6"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(&gt;24 months)</w:t>
            </w:r>
          </w:p>
        </w:tc>
      </w:tr>
      <w:tr w:rsidR="00442BDB" w:rsidRPr="000604EE" w14:paraId="327FF9AE" w14:textId="77777777" w:rsidTr="0027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4"/>
          </w:tcPr>
          <w:p w14:paraId="2D7D1449" w14:textId="77777777" w:rsidR="004961C6" w:rsidRPr="00A76818" w:rsidRDefault="004961C6"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Model of Assistance</w:t>
            </w:r>
          </w:p>
        </w:tc>
      </w:tr>
      <w:tr w:rsidR="00442BDB" w:rsidRPr="000604EE" w14:paraId="270317E4" w14:textId="77777777" w:rsidTr="00271B9B">
        <w:tc>
          <w:tcPr>
            <w:cnfStyle w:val="001000000000" w:firstRow="0" w:lastRow="0" w:firstColumn="1" w:lastColumn="0" w:oddVBand="0" w:evenVBand="0" w:oddHBand="0" w:evenHBand="0" w:firstRowFirstColumn="0" w:firstRowLastColumn="0" w:lastRowFirstColumn="0" w:lastRowLastColumn="0"/>
            <w:tcW w:w="3116" w:type="dxa"/>
          </w:tcPr>
          <w:p w14:paraId="729A54C9" w14:textId="0E3C6CF8" w:rsidR="004961C6" w:rsidRPr="00A76818" w:rsidRDefault="004961C6"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 xml:space="preserve">Tenant Based </w:t>
            </w:r>
            <w:r w:rsidR="00434989" w:rsidRPr="00A76818">
              <w:rPr>
                <w:rFonts w:ascii="Calibri" w:hAnsi="Calibri" w:cs="Calibri"/>
                <w:b w:val="0"/>
                <w:bCs w:val="0"/>
                <w:color w:val="000000" w:themeColor="text1"/>
              </w:rPr>
              <w:t>–</w:t>
            </w:r>
            <w:r w:rsidRPr="00A76818">
              <w:rPr>
                <w:rFonts w:ascii="Calibri" w:hAnsi="Calibri" w:cs="Calibri"/>
                <w:b w:val="0"/>
                <w:bCs w:val="0"/>
                <w:color w:val="000000" w:themeColor="text1"/>
              </w:rPr>
              <w:t xml:space="preserve"> </w:t>
            </w:r>
            <w:r w:rsidR="00434989" w:rsidRPr="00A76818">
              <w:rPr>
                <w:rFonts w:ascii="Calibri" w:hAnsi="Calibri" w:cs="Calibri"/>
                <w:b w:val="0"/>
                <w:bCs w:val="0"/>
                <w:color w:val="000000" w:themeColor="text1"/>
              </w:rPr>
              <w:t xml:space="preserve">Households </w:t>
            </w:r>
            <w:r w:rsidRPr="00A76818">
              <w:rPr>
                <w:rFonts w:ascii="Calibri" w:hAnsi="Calibri" w:cs="Calibri"/>
                <w:b w:val="0"/>
                <w:bCs w:val="0"/>
                <w:color w:val="000000" w:themeColor="text1"/>
              </w:rPr>
              <w:t>choose unit</w:t>
            </w:r>
          </w:p>
        </w:tc>
        <w:tc>
          <w:tcPr>
            <w:tcW w:w="5339" w:type="dxa"/>
            <w:gridSpan w:val="2"/>
          </w:tcPr>
          <w:p w14:paraId="25B3954A" w14:textId="3C8F262C" w:rsidR="004961C6" w:rsidRPr="00A76818" w:rsidRDefault="00434989"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Service Provider</w:t>
            </w:r>
            <w:r w:rsidR="004961C6" w:rsidRPr="00A76818">
              <w:rPr>
                <w:rFonts w:ascii="Calibri" w:hAnsi="Calibri" w:cs="Calibri"/>
                <w:color w:val="000000" w:themeColor="text1"/>
              </w:rPr>
              <w:t xml:space="preserve"> Based - </w:t>
            </w:r>
            <w:r w:rsidRPr="00A76818">
              <w:rPr>
                <w:rFonts w:ascii="Calibri" w:hAnsi="Calibri" w:cs="Calibri"/>
                <w:color w:val="000000" w:themeColor="text1"/>
              </w:rPr>
              <w:t>Households</w:t>
            </w:r>
            <w:r w:rsidR="004961C6" w:rsidRPr="00A76818">
              <w:rPr>
                <w:rFonts w:ascii="Calibri" w:hAnsi="Calibri" w:cs="Calibri"/>
                <w:color w:val="000000" w:themeColor="text1"/>
              </w:rPr>
              <w:t xml:space="preserve"> reside in housing</w:t>
            </w:r>
          </w:p>
          <w:p w14:paraId="7572EB81" w14:textId="6D4E60C8" w:rsidR="004961C6" w:rsidRPr="00A76818" w:rsidRDefault="004961C6"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owned or leased by </w:t>
            </w:r>
            <w:r w:rsidR="00434989" w:rsidRPr="00A76818">
              <w:rPr>
                <w:rFonts w:ascii="Calibri" w:hAnsi="Calibri" w:cs="Calibri"/>
                <w:color w:val="000000" w:themeColor="text1"/>
              </w:rPr>
              <w:t>service provider</w:t>
            </w:r>
          </w:p>
        </w:tc>
        <w:tc>
          <w:tcPr>
            <w:tcW w:w="4410" w:type="dxa"/>
          </w:tcPr>
          <w:p w14:paraId="54C1B9D6" w14:textId="77777777" w:rsidR="004961C6" w:rsidRPr="00A76818" w:rsidRDefault="004961C6"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Project Based - Units are provided through a contract with the owner</w:t>
            </w:r>
          </w:p>
        </w:tc>
      </w:tr>
      <w:tr w:rsidR="00442BDB" w:rsidRPr="000604EE" w14:paraId="069A278D" w14:textId="77777777" w:rsidTr="0027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4"/>
          </w:tcPr>
          <w:p w14:paraId="3CB854CE" w14:textId="77777777" w:rsidR="004961C6" w:rsidRPr="00A76818" w:rsidRDefault="004961C6"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Other Eligible Costs</w:t>
            </w:r>
          </w:p>
        </w:tc>
      </w:tr>
      <w:tr w:rsidR="00442BDB" w:rsidRPr="000604EE" w14:paraId="24282653" w14:textId="77777777" w:rsidTr="00271B9B">
        <w:tc>
          <w:tcPr>
            <w:cnfStyle w:val="001000000000" w:firstRow="0" w:lastRow="0" w:firstColumn="1" w:lastColumn="0" w:oddVBand="0" w:evenVBand="0" w:oddHBand="0" w:evenHBand="0" w:firstRowFirstColumn="0" w:firstRowLastColumn="0" w:lastRowFirstColumn="0" w:lastRowLastColumn="0"/>
            <w:tcW w:w="3116" w:type="dxa"/>
          </w:tcPr>
          <w:p w14:paraId="62EBEEFD" w14:textId="77777777" w:rsidR="004961C6" w:rsidRPr="00A76818" w:rsidRDefault="004961C6"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Vacancy Payment – up to 30</w:t>
            </w:r>
          </w:p>
          <w:p w14:paraId="103C448B" w14:textId="77777777" w:rsidR="004961C6" w:rsidRPr="00A76818" w:rsidRDefault="004961C6"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days following end of the</w:t>
            </w:r>
          </w:p>
          <w:p w14:paraId="731E39CC" w14:textId="77777777" w:rsidR="004961C6" w:rsidRPr="00A76818" w:rsidRDefault="004961C6"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month when unit vacated</w:t>
            </w:r>
          </w:p>
        </w:tc>
        <w:tc>
          <w:tcPr>
            <w:tcW w:w="5339" w:type="dxa"/>
            <w:gridSpan w:val="2"/>
          </w:tcPr>
          <w:p w14:paraId="699C34E1" w14:textId="77777777" w:rsidR="004961C6" w:rsidRPr="00A76818" w:rsidRDefault="004961C6"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Property Damage – may not</w:t>
            </w:r>
          </w:p>
          <w:p w14:paraId="6F37B974" w14:textId="2592BAC9" w:rsidR="004961C6" w:rsidRPr="00A76818" w:rsidRDefault="004961C6"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exceed one month’s rent; </w:t>
            </w:r>
            <w:r w:rsidR="00434989" w:rsidRPr="00A76818">
              <w:rPr>
                <w:rFonts w:ascii="Calibri" w:hAnsi="Calibri" w:cs="Calibri"/>
                <w:color w:val="000000" w:themeColor="text1"/>
              </w:rPr>
              <w:t>one-time</w:t>
            </w:r>
            <w:r w:rsidRPr="00A76818">
              <w:rPr>
                <w:rFonts w:ascii="Calibri" w:hAnsi="Calibri" w:cs="Calibri"/>
                <w:color w:val="000000" w:themeColor="text1"/>
              </w:rPr>
              <w:t xml:space="preserve"> cost per </w:t>
            </w:r>
            <w:r w:rsidR="00434989" w:rsidRPr="00A76818">
              <w:rPr>
                <w:rFonts w:ascii="Calibri" w:hAnsi="Calibri" w:cs="Calibri"/>
                <w:color w:val="000000" w:themeColor="text1"/>
              </w:rPr>
              <w:t>household</w:t>
            </w:r>
            <w:r w:rsidRPr="00A76818">
              <w:rPr>
                <w:rFonts w:ascii="Calibri" w:hAnsi="Calibri" w:cs="Calibri"/>
                <w:color w:val="000000" w:themeColor="text1"/>
              </w:rPr>
              <w:t xml:space="preserve"> at the</w:t>
            </w:r>
            <w:r w:rsidR="00434989" w:rsidRPr="00A76818">
              <w:rPr>
                <w:rFonts w:ascii="Calibri" w:hAnsi="Calibri" w:cs="Calibri"/>
                <w:color w:val="000000" w:themeColor="text1"/>
              </w:rPr>
              <w:t xml:space="preserve"> </w:t>
            </w:r>
            <w:r w:rsidRPr="00A76818">
              <w:rPr>
                <w:rFonts w:ascii="Calibri" w:hAnsi="Calibri" w:cs="Calibri"/>
                <w:color w:val="000000" w:themeColor="text1"/>
              </w:rPr>
              <w:t xml:space="preserve">time </w:t>
            </w:r>
            <w:r w:rsidR="00434989" w:rsidRPr="00A76818">
              <w:rPr>
                <w:rFonts w:ascii="Calibri" w:hAnsi="Calibri" w:cs="Calibri"/>
                <w:color w:val="000000" w:themeColor="text1"/>
              </w:rPr>
              <w:t xml:space="preserve">the household </w:t>
            </w:r>
            <w:r w:rsidRPr="00A76818">
              <w:rPr>
                <w:rFonts w:ascii="Calibri" w:hAnsi="Calibri" w:cs="Calibri"/>
                <w:color w:val="000000" w:themeColor="text1"/>
              </w:rPr>
              <w:t xml:space="preserve">exits </w:t>
            </w:r>
            <w:r w:rsidR="00434989" w:rsidRPr="00A76818">
              <w:rPr>
                <w:rFonts w:ascii="Calibri" w:hAnsi="Calibri" w:cs="Calibri"/>
                <w:color w:val="000000" w:themeColor="text1"/>
              </w:rPr>
              <w:t xml:space="preserve">the </w:t>
            </w:r>
            <w:r w:rsidRPr="00A76818">
              <w:rPr>
                <w:rFonts w:ascii="Calibri" w:hAnsi="Calibri" w:cs="Calibri"/>
                <w:color w:val="000000" w:themeColor="text1"/>
              </w:rPr>
              <w:t>unit</w:t>
            </w:r>
          </w:p>
        </w:tc>
        <w:tc>
          <w:tcPr>
            <w:tcW w:w="4410" w:type="dxa"/>
          </w:tcPr>
          <w:p w14:paraId="47D2782C" w14:textId="77777777" w:rsidR="004961C6" w:rsidRPr="00A76818" w:rsidRDefault="004961C6"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Security Deposits –</w:t>
            </w:r>
          </w:p>
          <w:p w14:paraId="70591283" w14:textId="77777777" w:rsidR="004961C6" w:rsidRPr="00A76818" w:rsidRDefault="004961C6"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not to exceed 2 months of rent</w:t>
            </w:r>
          </w:p>
        </w:tc>
      </w:tr>
      <w:tr w:rsidR="00442BDB" w:rsidRPr="000604EE" w14:paraId="131A5BFD" w14:textId="77777777" w:rsidTr="0027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4"/>
          </w:tcPr>
          <w:p w14:paraId="33530602" w14:textId="77777777" w:rsidR="004961C6" w:rsidRPr="00A76818" w:rsidRDefault="004961C6"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Administering Rental Assistance – Eligible Costs</w:t>
            </w:r>
          </w:p>
        </w:tc>
      </w:tr>
      <w:tr w:rsidR="00442BDB" w:rsidRPr="000604EE" w14:paraId="13C1BBB1" w14:textId="77777777" w:rsidTr="00271B9B">
        <w:tc>
          <w:tcPr>
            <w:cnfStyle w:val="001000000000" w:firstRow="0" w:lastRow="0" w:firstColumn="1" w:lastColumn="0" w:oddVBand="0" w:evenVBand="0" w:oddHBand="0" w:evenHBand="0" w:firstRowFirstColumn="0" w:firstRowLastColumn="0" w:lastRowFirstColumn="0" w:lastRowLastColumn="0"/>
            <w:tcW w:w="3116" w:type="dxa"/>
          </w:tcPr>
          <w:p w14:paraId="7547A38B" w14:textId="77777777" w:rsidR="004961C6" w:rsidRPr="00A76818" w:rsidRDefault="004961C6"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Processing rental payments to</w:t>
            </w:r>
          </w:p>
          <w:p w14:paraId="5859F2E5" w14:textId="77777777" w:rsidR="004961C6" w:rsidRPr="00A76818" w:rsidRDefault="004961C6"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landlords</w:t>
            </w:r>
          </w:p>
        </w:tc>
        <w:tc>
          <w:tcPr>
            <w:tcW w:w="5339" w:type="dxa"/>
            <w:gridSpan w:val="2"/>
          </w:tcPr>
          <w:p w14:paraId="0DC82E82" w14:textId="273F0D7A" w:rsidR="004961C6" w:rsidRPr="00A76818" w:rsidRDefault="004961C6"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Examining </w:t>
            </w:r>
            <w:r w:rsidR="00434989" w:rsidRPr="00A76818">
              <w:rPr>
                <w:rFonts w:ascii="Calibri" w:hAnsi="Calibri" w:cs="Calibri"/>
                <w:color w:val="000000" w:themeColor="text1"/>
              </w:rPr>
              <w:t xml:space="preserve">household </w:t>
            </w:r>
            <w:r w:rsidRPr="00A76818">
              <w:rPr>
                <w:rFonts w:ascii="Calibri" w:hAnsi="Calibri" w:cs="Calibri"/>
                <w:color w:val="000000" w:themeColor="text1"/>
              </w:rPr>
              <w:t>income</w:t>
            </w:r>
          </w:p>
          <w:p w14:paraId="53ACF99B" w14:textId="77777777" w:rsidR="004961C6" w:rsidRPr="00A76818" w:rsidRDefault="004961C6"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and family composition</w:t>
            </w:r>
          </w:p>
        </w:tc>
        <w:tc>
          <w:tcPr>
            <w:tcW w:w="4410" w:type="dxa"/>
          </w:tcPr>
          <w:p w14:paraId="2DF09AFB" w14:textId="77777777" w:rsidR="004961C6" w:rsidRPr="00A76818" w:rsidRDefault="004961C6"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Providing housing information</w:t>
            </w:r>
          </w:p>
          <w:p w14:paraId="027669B3" w14:textId="77777777" w:rsidR="004961C6" w:rsidRPr="00A76818" w:rsidRDefault="004961C6"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and assistance</w:t>
            </w:r>
          </w:p>
        </w:tc>
      </w:tr>
      <w:tr w:rsidR="00442BDB" w:rsidRPr="000604EE" w14:paraId="4C38EE27" w14:textId="77777777" w:rsidTr="00271B9B">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367" w:type="dxa"/>
            <w:gridSpan w:val="2"/>
            <w:shd w:val="clear" w:color="auto" w:fill="FFFFFF" w:themeFill="background1"/>
          </w:tcPr>
          <w:p w14:paraId="0A4A299B" w14:textId="77777777" w:rsidR="004961C6" w:rsidRPr="00A76818" w:rsidRDefault="004961C6"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Inspecting units for compliance with Housing</w:t>
            </w:r>
          </w:p>
          <w:p w14:paraId="5A2AE18B" w14:textId="77777777" w:rsidR="004961C6" w:rsidRPr="00A76818" w:rsidRDefault="004961C6"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Quality Standards (HQS)</w:t>
            </w:r>
          </w:p>
        </w:tc>
        <w:tc>
          <w:tcPr>
            <w:tcW w:w="7498" w:type="dxa"/>
            <w:gridSpan w:val="2"/>
            <w:shd w:val="clear" w:color="auto" w:fill="FFFFFF" w:themeFill="background1"/>
          </w:tcPr>
          <w:p w14:paraId="3A1B8137" w14:textId="6F182B14" w:rsidR="004961C6" w:rsidRPr="00A76818" w:rsidRDefault="004961C6"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Receiving new </w:t>
            </w:r>
            <w:r w:rsidR="00434989" w:rsidRPr="00A76818">
              <w:rPr>
                <w:rFonts w:ascii="Calibri" w:hAnsi="Calibri" w:cs="Calibri"/>
                <w:color w:val="000000" w:themeColor="text1"/>
              </w:rPr>
              <w:t>households</w:t>
            </w:r>
            <w:r w:rsidRPr="00A76818">
              <w:rPr>
                <w:rFonts w:ascii="Calibri" w:hAnsi="Calibri" w:cs="Calibri"/>
                <w:color w:val="000000" w:themeColor="text1"/>
              </w:rPr>
              <w:t xml:space="preserve"> into the program</w:t>
            </w:r>
          </w:p>
        </w:tc>
      </w:tr>
    </w:tbl>
    <w:p w14:paraId="3F151979" w14:textId="77777777" w:rsidR="004961C6" w:rsidRPr="00A76818" w:rsidRDefault="004961C6" w:rsidP="000604EE">
      <w:pPr>
        <w:autoSpaceDE w:val="0"/>
        <w:autoSpaceDN w:val="0"/>
        <w:adjustRightInd w:val="0"/>
        <w:contextualSpacing/>
        <w:rPr>
          <w:rFonts w:ascii="Calibri" w:hAnsi="Calibri" w:cs="Calibri"/>
          <w:color w:val="000000" w:themeColor="text1"/>
        </w:rPr>
      </w:pPr>
    </w:p>
    <w:tbl>
      <w:tblPr>
        <w:tblStyle w:val="GridTable4-Accent1"/>
        <w:tblW w:w="0" w:type="auto"/>
        <w:tblLook w:val="04A0" w:firstRow="1" w:lastRow="0" w:firstColumn="1" w:lastColumn="0" w:noHBand="0" w:noVBand="1"/>
      </w:tblPr>
      <w:tblGrid>
        <w:gridCol w:w="4675"/>
        <w:gridCol w:w="8190"/>
      </w:tblGrid>
      <w:tr w:rsidR="00442BDB" w:rsidRPr="000604EE" w14:paraId="4E1C31A8" w14:textId="77777777" w:rsidTr="00271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5" w:type="dxa"/>
            <w:gridSpan w:val="2"/>
          </w:tcPr>
          <w:p w14:paraId="277EFF7D" w14:textId="77777777" w:rsidR="004961C6" w:rsidRPr="00A76818" w:rsidRDefault="004961C6"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CoC Rental Assistance – Key Requirements</w:t>
            </w:r>
          </w:p>
        </w:tc>
      </w:tr>
      <w:tr w:rsidR="00442BDB" w:rsidRPr="000604EE" w14:paraId="2330C302" w14:textId="77777777" w:rsidTr="0027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2AA9CC4E" w14:textId="77777777" w:rsidR="004961C6" w:rsidRPr="00A76818" w:rsidRDefault="004961C6"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Unit Rent Standard</w:t>
            </w:r>
          </w:p>
        </w:tc>
        <w:tc>
          <w:tcPr>
            <w:tcW w:w="8190" w:type="dxa"/>
            <w:shd w:val="clear" w:color="auto" w:fill="auto"/>
          </w:tcPr>
          <w:p w14:paraId="4F0F90BF" w14:textId="77777777" w:rsidR="004961C6" w:rsidRPr="00A76818" w:rsidRDefault="004961C6"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The unit rent must be reasonable in comparison to similar units and cannot exceed comparable unassisted units.</w:t>
            </w:r>
          </w:p>
        </w:tc>
      </w:tr>
      <w:tr w:rsidR="00442BDB" w:rsidRPr="000604EE" w14:paraId="08C3EBFC" w14:textId="77777777" w:rsidTr="00271B9B">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20B5F27A" w14:textId="77777777" w:rsidR="004961C6" w:rsidRPr="00A76818" w:rsidRDefault="004961C6"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Unit Lease – Lease and Rental Assistance</w:t>
            </w:r>
          </w:p>
          <w:p w14:paraId="7F24087C" w14:textId="77777777" w:rsidR="004961C6" w:rsidRPr="00A76818" w:rsidRDefault="004961C6"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Agreement</w:t>
            </w:r>
          </w:p>
        </w:tc>
        <w:tc>
          <w:tcPr>
            <w:tcW w:w="8190" w:type="dxa"/>
            <w:shd w:val="clear" w:color="auto" w:fill="auto"/>
          </w:tcPr>
          <w:p w14:paraId="246678E8" w14:textId="090303AF" w:rsidR="004961C6" w:rsidRPr="00A76818" w:rsidRDefault="00434989"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Household</w:t>
            </w:r>
            <w:r w:rsidR="004961C6" w:rsidRPr="00A76818">
              <w:rPr>
                <w:rFonts w:ascii="Calibri" w:hAnsi="Calibri" w:cs="Calibri"/>
                <w:color w:val="000000" w:themeColor="text1"/>
              </w:rPr>
              <w:t xml:space="preserve">s must have a lease agreement with the landlord/owner of housing. In addition, </w:t>
            </w:r>
            <w:r w:rsidR="002571D5" w:rsidRPr="00A76818">
              <w:rPr>
                <w:rFonts w:ascii="Calibri" w:hAnsi="Calibri" w:cs="Calibri"/>
                <w:color w:val="000000" w:themeColor="text1"/>
              </w:rPr>
              <w:t xml:space="preserve">households </w:t>
            </w:r>
            <w:r w:rsidR="004961C6" w:rsidRPr="00A76818">
              <w:rPr>
                <w:rFonts w:ascii="Calibri" w:hAnsi="Calibri" w:cs="Calibri"/>
                <w:color w:val="000000" w:themeColor="text1"/>
              </w:rPr>
              <w:t>may make rental assistance payments only to</w:t>
            </w:r>
          </w:p>
          <w:p w14:paraId="4B940656" w14:textId="0370CC1B" w:rsidR="004961C6" w:rsidRPr="00A76818" w:rsidRDefault="004961C6"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landlords/owners with whom the </w:t>
            </w:r>
            <w:r w:rsidR="002571D5" w:rsidRPr="00A76818">
              <w:rPr>
                <w:rFonts w:ascii="Calibri" w:hAnsi="Calibri" w:cs="Calibri"/>
                <w:color w:val="000000" w:themeColor="text1"/>
              </w:rPr>
              <w:t>service provider</w:t>
            </w:r>
            <w:r w:rsidRPr="00A76818">
              <w:rPr>
                <w:rFonts w:ascii="Calibri" w:hAnsi="Calibri" w:cs="Calibri"/>
                <w:color w:val="000000" w:themeColor="text1"/>
              </w:rPr>
              <w:t xml:space="preserve"> has a rental assistance agreement. The rental assistance agreement must include the terms under which rental assistance will be provided, the term of the agreement, that the landlord/owner will provide the recipient with a copy of all written notices to</w:t>
            </w:r>
            <w:r w:rsidR="002571D5" w:rsidRPr="00A76818">
              <w:rPr>
                <w:rFonts w:ascii="Calibri" w:hAnsi="Calibri" w:cs="Calibri"/>
                <w:color w:val="000000" w:themeColor="text1"/>
              </w:rPr>
              <w:t xml:space="preserve"> </w:t>
            </w:r>
            <w:r w:rsidRPr="00A76818">
              <w:rPr>
                <w:rFonts w:ascii="Calibri" w:hAnsi="Calibri" w:cs="Calibri"/>
                <w:color w:val="000000" w:themeColor="text1"/>
              </w:rPr>
              <w:t xml:space="preserve">the </w:t>
            </w:r>
            <w:r w:rsidR="002571D5" w:rsidRPr="00A76818">
              <w:rPr>
                <w:rFonts w:ascii="Calibri" w:hAnsi="Calibri" w:cs="Calibri"/>
                <w:color w:val="000000" w:themeColor="text1"/>
              </w:rPr>
              <w:t>household</w:t>
            </w:r>
            <w:r w:rsidRPr="00A76818">
              <w:rPr>
                <w:rFonts w:ascii="Calibri" w:hAnsi="Calibri" w:cs="Calibri"/>
                <w:color w:val="000000" w:themeColor="text1"/>
              </w:rPr>
              <w:t xml:space="preserve"> (including notices to vacate, notices of noncompliance, etc.).</w:t>
            </w:r>
          </w:p>
        </w:tc>
      </w:tr>
      <w:tr w:rsidR="004961C6" w:rsidRPr="000604EE" w14:paraId="778BFD71" w14:textId="77777777" w:rsidTr="0027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5F40D4BF" w14:textId="3759A40C" w:rsidR="004961C6" w:rsidRPr="00A76818" w:rsidRDefault="002571D5"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Household</w:t>
            </w:r>
            <w:r w:rsidR="004961C6" w:rsidRPr="00A76818">
              <w:rPr>
                <w:rFonts w:ascii="Calibri" w:hAnsi="Calibri" w:cs="Calibri"/>
                <w:b w:val="0"/>
                <w:bCs w:val="0"/>
                <w:color w:val="000000" w:themeColor="text1"/>
              </w:rPr>
              <w:t xml:space="preserve"> Rent</w:t>
            </w:r>
            <w:r w:rsidRPr="00A76818">
              <w:rPr>
                <w:rFonts w:ascii="Calibri" w:hAnsi="Calibri" w:cs="Calibri"/>
                <w:b w:val="0"/>
                <w:bCs w:val="0"/>
                <w:color w:val="000000" w:themeColor="text1"/>
              </w:rPr>
              <w:t xml:space="preserve"> Contribution</w:t>
            </w:r>
          </w:p>
        </w:tc>
        <w:tc>
          <w:tcPr>
            <w:tcW w:w="8190" w:type="dxa"/>
            <w:shd w:val="clear" w:color="auto" w:fill="auto"/>
          </w:tcPr>
          <w:p w14:paraId="552E980D" w14:textId="37DA3444" w:rsidR="004961C6" w:rsidRPr="00A76818" w:rsidRDefault="004961C6"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Except in </w:t>
            </w:r>
            <w:r w:rsidR="002571D5" w:rsidRPr="00A76818">
              <w:rPr>
                <w:rFonts w:ascii="Calibri" w:hAnsi="Calibri" w:cs="Calibri"/>
                <w:color w:val="000000" w:themeColor="text1"/>
              </w:rPr>
              <w:t>r</w:t>
            </w:r>
            <w:r w:rsidRPr="00A76818">
              <w:rPr>
                <w:rFonts w:ascii="Calibri" w:hAnsi="Calibri" w:cs="Calibri"/>
                <w:color w:val="000000" w:themeColor="text1"/>
              </w:rPr>
              <w:t xml:space="preserve">apid </w:t>
            </w:r>
            <w:r w:rsidR="002571D5" w:rsidRPr="00A76818">
              <w:rPr>
                <w:rFonts w:ascii="Calibri" w:hAnsi="Calibri" w:cs="Calibri"/>
                <w:color w:val="000000" w:themeColor="text1"/>
              </w:rPr>
              <w:t>r</w:t>
            </w:r>
            <w:r w:rsidR="007D509A" w:rsidRPr="00A76818">
              <w:rPr>
                <w:rFonts w:ascii="Calibri" w:hAnsi="Calibri" w:cs="Calibri"/>
                <w:color w:val="000000" w:themeColor="text1"/>
              </w:rPr>
              <w:t>e-housing</w:t>
            </w:r>
            <w:r w:rsidRPr="00A76818">
              <w:rPr>
                <w:rFonts w:ascii="Calibri" w:hAnsi="Calibri" w:cs="Calibri"/>
                <w:color w:val="000000" w:themeColor="text1"/>
              </w:rPr>
              <w:t xml:space="preserve"> projects, </w:t>
            </w:r>
            <w:r w:rsidR="002571D5" w:rsidRPr="00A76818">
              <w:rPr>
                <w:rFonts w:ascii="Calibri" w:hAnsi="Calibri" w:cs="Calibri"/>
                <w:color w:val="000000" w:themeColor="text1"/>
              </w:rPr>
              <w:t xml:space="preserve">households </w:t>
            </w:r>
            <w:r w:rsidRPr="00A76818">
              <w:rPr>
                <w:rFonts w:ascii="Calibri" w:hAnsi="Calibri" w:cs="Calibri"/>
                <w:color w:val="000000" w:themeColor="text1"/>
              </w:rPr>
              <w:t>must contribute toward their rent in accordance with 3(a)(1) of the U.S. Housing Act of 1937 (42 USC 1437a(a)(1)). Changes to rental payment amounts must be made as changes in income are identified (no less than annually).</w:t>
            </w:r>
          </w:p>
        </w:tc>
      </w:tr>
    </w:tbl>
    <w:p w14:paraId="0D61C677" w14:textId="77777777" w:rsidR="00A76818" w:rsidRDefault="00A76818" w:rsidP="00A76818">
      <w:pPr>
        <w:pStyle w:val="ListParagraph"/>
        <w:ind w:left="1440"/>
        <w:rPr>
          <w:rFonts w:ascii="Calibri" w:hAnsi="Calibri"/>
          <w:color w:val="000000" w:themeColor="text1"/>
        </w:rPr>
      </w:pPr>
    </w:p>
    <w:p w14:paraId="31CACDC8" w14:textId="6345F200" w:rsidR="00BC6C26" w:rsidRPr="00A76818" w:rsidRDefault="000B73C4">
      <w:pPr>
        <w:pStyle w:val="ListParagraph"/>
        <w:numPr>
          <w:ilvl w:val="0"/>
          <w:numId w:val="47"/>
        </w:numPr>
        <w:rPr>
          <w:rFonts w:ascii="Calibri" w:hAnsi="Calibri"/>
          <w:color w:val="000000" w:themeColor="text1"/>
        </w:rPr>
      </w:pPr>
      <w:r w:rsidRPr="00A76818">
        <w:rPr>
          <w:rFonts w:ascii="Calibri" w:hAnsi="Calibri"/>
          <w:color w:val="000000" w:themeColor="text1"/>
        </w:rPr>
        <w:lastRenderedPageBreak/>
        <w:t xml:space="preserve">Leasing </w:t>
      </w:r>
    </w:p>
    <w:p w14:paraId="18E0983C" w14:textId="5516B576" w:rsidR="002571D5" w:rsidRPr="00A76818" w:rsidRDefault="002571D5">
      <w:pPr>
        <w:pStyle w:val="ListParagraph"/>
        <w:numPr>
          <w:ilvl w:val="0"/>
          <w:numId w:val="48"/>
        </w:numPr>
        <w:autoSpaceDE w:val="0"/>
        <w:autoSpaceDN w:val="0"/>
        <w:adjustRightInd w:val="0"/>
        <w:rPr>
          <w:rFonts w:ascii="Calibri" w:hAnsi="Calibri"/>
          <w:color w:val="000000" w:themeColor="text1"/>
        </w:rPr>
      </w:pPr>
      <w:r w:rsidRPr="00A76818">
        <w:rPr>
          <w:rFonts w:ascii="Calibri" w:hAnsi="Calibri"/>
          <w:color w:val="000000" w:themeColor="text1"/>
        </w:rPr>
        <w:t>Specifics</w:t>
      </w:r>
    </w:p>
    <w:p w14:paraId="57305201" w14:textId="1A3FB3C7" w:rsidR="000B73C4" w:rsidRPr="00A76818" w:rsidRDefault="000B73C4">
      <w:pPr>
        <w:pStyle w:val="ListParagraph"/>
        <w:numPr>
          <w:ilvl w:val="3"/>
          <w:numId w:val="13"/>
        </w:numPr>
        <w:autoSpaceDE w:val="0"/>
        <w:autoSpaceDN w:val="0"/>
        <w:adjustRightInd w:val="0"/>
        <w:rPr>
          <w:rFonts w:ascii="Calibri" w:hAnsi="Calibri"/>
          <w:color w:val="000000" w:themeColor="text1"/>
        </w:rPr>
      </w:pPr>
      <w:r w:rsidRPr="00A76818">
        <w:rPr>
          <w:rFonts w:ascii="Calibri" w:hAnsi="Calibri"/>
          <w:color w:val="000000" w:themeColor="text1"/>
        </w:rPr>
        <w:t xml:space="preserve">Leasing funds under the CoC </w:t>
      </w:r>
      <w:r w:rsidR="002571D5" w:rsidRPr="00A76818">
        <w:rPr>
          <w:rFonts w:ascii="Calibri" w:hAnsi="Calibri"/>
          <w:color w:val="000000" w:themeColor="text1"/>
        </w:rPr>
        <w:t>pr</w:t>
      </w:r>
      <w:r w:rsidRPr="00A76818">
        <w:rPr>
          <w:rFonts w:ascii="Calibri" w:hAnsi="Calibri"/>
          <w:color w:val="000000" w:themeColor="text1"/>
        </w:rPr>
        <w:t xml:space="preserve">ogram may be used to lease a structure or individual units to provide housing or supportive services to </w:t>
      </w:r>
      <w:r w:rsidR="002571D5" w:rsidRPr="00A76818">
        <w:rPr>
          <w:rFonts w:ascii="Calibri" w:hAnsi="Calibri"/>
          <w:color w:val="000000" w:themeColor="text1"/>
        </w:rPr>
        <w:t>households</w:t>
      </w:r>
      <w:r w:rsidRPr="00A76818">
        <w:rPr>
          <w:rFonts w:ascii="Calibri" w:hAnsi="Calibri"/>
          <w:color w:val="000000" w:themeColor="text1"/>
        </w:rPr>
        <w:t xml:space="preserve">. Funds cannot be used to lease units or structures owned by the </w:t>
      </w:r>
      <w:r w:rsidR="002571D5" w:rsidRPr="00A76818">
        <w:rPr>
          <w:rFonts w:ascii="Calibri" w:hAnsi="Calibri"/>
          <w:color w:val="000000" w:themeColor="text1"/>
        </w:rPr>
        <w:t>service provider</w:t>
      </w:r>
      <w:r w:rsidRPr="00A76818">
        <w:rPr>
          <w:rFonts w:ascii="Calibri" w:hAnsi="Calibri"/>
          <w:color w:val="000000" w:themeColor="text1"/>
        </w:rPr>
        <w:t>, their parent organization(s), or other organizations more fully described in 24 CFR § 578.49(a)</w:t>
      </w:r>
      <w:r w:rsidR="002571D5" w:rsidRPr="00A76818">
        <w:rPr>
          <w:rFonts w:ascii="Calibri" w:hAnsi="Calibri"/>
          <w:color w:val="000000" w:themeColor="text1"/>
        </w:rPr>
        <w:t>,</w:t>
      </w:r>
      <w:r w:rsidRPr="00A76818">
        <w:rPr>
          <w:rFonts w:ascii="Calibri" w:hAnsi="Calibri"/>
          <w:color w:val="000000" w:themeColor="text1"/>
        </w:rPr>
        <w:t xml:space="preserve"> unless authorized by HUD.</w:t>
      </w:r>
    </w:p>
    <w:p w14:paraId="73C6D48A" w14:textId="77777777" w:rsidR="000B73C4" w:rsidRPr="00A76818" w:rsidRDefault="000B73C4">
      <w:pPr>
        <w:pStyle w:val="ListParagraph"/>
        <w:numPr>
          <w:ilvl w:val="3"/>
          <w:numId w:val="13"/>
        </w:numPr>
        <w:autoSpaceDE w:val="0"/>
        <w:autoSpaceDN w:val="0"/>
        <w:adjustRightInd w:val="0"/>
        <w:rPr>
          <w:rFonts w:ascii="Calibri" w:hAnsi="Calibri"/>
          <w:color w:val="000000" w:themeColor="text1"/>
        </w:rPr>
      </w:pPr>
      <w:r w:rsidRPr="00A76818">
        <w:rPr>
          <w:rFonts w:ascii="Calibri" w:hAnsi="Calibri"/>
          <w:color w:val="000000" w:themeColor="text1"/>
        </w:rPr>
        <w:t>Where utilities are included in the rent amount, utilities (electricity, gas, water) are considered a leasing cost. Where the utilities are separate from the rent, they are considered an operating cost. Utilities for supportive service structures are considered a supportive services cost regardless of utilities being included or excluded from the rent amount.</w:t>
      </w:r>
    </w:p>
    <w:p w14:paraId="52F2C89D" w14:textId="0E9E4325" w:rsidR="000B73C4" w:rsidRPr="00A76818" w:rsidRDefault="000B73C4">
      <w:pPr>
        <w:pStyle w:val="ListParagraph"/>
        <w:numPr>
          <w:ilvl w:val="3"/>
          <w:numId w:val="13"/>
        </w:numPr>
        <w:autoSpaceDE w:val="0"/>
        <w:autoSpaceDN w:val="0"/>
        <w:adjustRightInd w:val="0"/>
        <w:rPr>
          <w:rFonts w:ascii="Calibri" w:hAnsi="Calibri"/>
          <w:color w:val="000000" w:themeColor="text1"/>
        </w:rPr>
      </w:pPr>
      <w:r w:rsidRPr="00A76818">
        <w:rPr>
          <w:rFonts w:ascii="Calibri" w:hAnsi="Calibri"/>
          <w:color w:val="000000" w:themeColor="text1"/>
        </w:rPr>
        <w:t xml:space="preserve">Leasing funds may be used to pay a security </w:t>
      </w:r>
      <w:r w:rsidR="00C777B8" w:rsidRPr="00A76818">
        <w:rPr>
          <w:rFonts w:ascii="Calibri" w:hAnsi="Calibri"/>
          <w:color w:val="000000" w:themeColor="text1"/>
        </w:rPr>
        <w:t>deposit,</w:t>
      </w:r>
      <w:r w:rsidRPr="00A76818">
        <w:rPr>
          <w:rFonts w:ascii="Calibri" w:hAnsi="Calibri"/>
          <w:color w:val="000000" w:themeColor="text1"/>
        </w:rPr>
        <w:t xml:space="preserve"> but it must not exceed two months of actual rent. It is permissible to pay first and last month’s rent.</w:t>
      </w:r>
    </w:p>
    <w:p w14:paraId="1C3D66E9" w14:textId="56BBAE07" w:rsidR="002571D5" w:rsidRPr="00A76818" w:rsidRDefault="002571D5">
      <w:pPr>
        <w:pStyle w:val="ListParagraph"/>
        <w:numPr>
          <w:ilvl w:val="0"/>
          <w:numId w:val="48"/>
        </w:numPr>
        <w:autoSpaceDE w:val="0"/>
        <w:autoSpaceDN w:val="0"/>
        <w:adjustRightInd w:val="0"/>
        <w:rPr>
          <w:rFonts w:ascii="Calibri" w:hAnsi="Calibri"/>
          <w:color w:val="000000" w:themeColor="text1"/>
        </w:rPr>
      </w:pPr>
      <w:r w:rsidRPr="00A76818">
        <w:rPr>
          <w:rFonts w:ascii="Calibri" w:hAnsi="Calibri"/>
          <w:color w:val="000000" w:themeColor="text1"/>
        </w:rPr>
        <w:t>Summary</w:t>
      </w:r>
    </w:p>
    <w:p w14:paraId="79102479" w14:textId="77777777" w:rsidR="003C1BD2" w:rsidRPr="000604EE" w:rsidRDefault="003C1BD2" w:rsidP="000604EE">
      <w:pPr>
        <w:pStyle w:val="ListParagraph"/>
        <w:autoSpaceDE w:val="0"/>
        <w:autoSpaceDN w:val="0"/>
        <w:adjustRightInd w:val="0"/>
        <w:ind w:left="2160"/>
        <w:rPr>
          <w:rFonts w:ascii="Calibri" w:hAnsi="Calibri"/>
          <w:color w:val="000000" w:themeColor="text1"/>
          <w:sz w:val="20"/>
          <w:szCs w:val="20"/>
        </w:rPr>
      </w:pPr>
    </w:p>
    <w:tbl>
      <w:tblPr>
        <w:tblStyle w:val="GridTable4-Accent1"/>
        <w:tblW w:w="12955" w:type="dxa"/>
        <w:tblLook w:val="04A0" w:firstRow="1" w:lastRow="0" w:firstColumn="1" w:lastColumn="0" w:noHBand="0" w:noVBand="1"/>
      </w:tblPr>
      <w:tblGrid>
        <w:gridCol w:w="3116"/>
        <w:gridCol w:w="1559"/>
        <w:gridCol w:w="1558"/>
        <w:gridCol w:w="6722"/>
      </w:tblGrid>
      <w:tr w:rsidR="00442BDB" w:rsidRPr="000604EE" w14:paraId="742E6812" w14:textId="77777777" w:rsidTr="00271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5" w:type="dxa"/>
            <w:gridSpan w:val="4"/>
          </w:tcPr>
          <w:p w14:paraId="47070A99"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CoC Leasing – Eligible Costs</w:t>
            </w:r>
          </w:p>
        </w:tc>
      </w:tr>
      <w:tr w:rsidR="00442BDB" w:rsidRPr="000604EE" w14:paraId="54BA9CA3" w14:textId="77777777" w:rsidTr="0027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5" w:type="dxa"/>
            <w:gridSpan w:val="4"/>
          </w:tcPr>
          <w:p w14:paraId="335B683C"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Length of Housing Assistance</w:t>
            </w:r>
          </w:p>
        </w:tc>
      </w:tr>
      <w:tr w:rsidR="00442BDB" w:rsidRPr="000604EE" w14:paraId="7DF629AB" w14:textId="77777777" w:rsidTr="00271B9B">
        <w:tc>
          <w:tcPr>
            <w:cnfStyle w:val="001000000000" w:firstRow="0" w:lastRow="0" w:firstColumn="1" w:lastColumn="0" w:oddVBand="0" w:evenVBand="0" w:oddHBand="0" w:evenHBand="0" w:firstRowFirstColumn="0" w:firstRowLastColumn="0" w:lastRowFirstColumn="0" w:lastRowLastColumn="0"/>
            <w:tcW w:w="12955" w:type="dxa"/>
            <w:gridSpan w:val="4"/>
          </w:tcPr>
          <w:p w14:paraId="32D3AF3B" w14:textId="0E1C286B"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Unlimited</w:t>
            </w:r>
          </w:p>
        </w:tc>
      </w:tr>
      <w:tr w:rsidR="00442BDB" w:rsidRPr="000604EE" w14:paraId="6F2CFEB9" w14:textId="77777777" w:rsidTr="0027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5" w:type="dxa"/>
            <w:gridSpan w:val="4"/>
          </w:tcPr>
          <w:p w14:paraId="67A99103"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Model of Assistance</w:t>
            </w:r>
          </w:p>
        </w:tc>
      </w:tr>
      <w:tr w:rsidR="00442BDB" w:rsidRPr="000604EE" w14:paraId="061DC767" w14:textId="77777777" w:rsidTr="00271B9B">
        <w:tc>
          <w:tcPr>
            <w:cnfStyle w:val="001000000000" w:firstRow="0" w:lastRow="0" w:firstColumn="1" w:lastColumn="0" w:oddVBand="0" w:evenVBand="0" w:oddHBand="0" w:evenHBand="0" w:firstRowFirstColumn="0" w:firstRowLastColumn="0" w:lastRowFirstColumn="0" w:lastRowLastColumn="0"/>
            <w:tcW w:w="3116" w:type="dxa"/>
          </w:tcPr>
          <w:p w14:paraId="2C34E8DC"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Structure(s)</w:t>
            </w:r>
          </w:p>
        </w:tc>
        <w:tc>
          <w:tcPr>
            <w:tcW w:w="3117" w:type="dxa"/>
            <w:gridSpan w:val="2"/>
          </w:tcPr>
          <w:p w14:paraId="04D5F7E6" w14:textId="26C97950" w:rsidR="000B73C4" w:rsidRPr="00A76818" w:rsidRDefault="000B73C4"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Portion of Building(s)</w:t>
            </w:r>
          </w:p>
        </w:tc>
        <w:tc>
          <w:tcPr>
            <w:tcW w:w="6722" w:type="dxa"/>
          </w:tcPr>
          <w:p w14:paraId="1F93D9F8" w14:textId="77777777" w:rsidR="000B73C4" w:rsidRPr="00A76818" w:rsidRDefault="000B73C4"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Individual Units</w:t>
            </w:r>
          </w:p>
        </w:tc>
      </w:tr>
      <w:tr w:rsidR="00442BDB" w:rsidRPr="000604EE" w14:paraId="6560891C" w14:textId="77777777" w:rsidTr="0027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5" w:type="dxa"/>
            <w:gridSpan w:val="4"/>
          </w:tcPr>
          <w:p w14:paraId="3F7778C2"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Other Eligible Costs</w:t>
            </w:r>
          </w:p>
        </w:tc>
      </w:tr>
      <w:tr w:rsidR="00442BDB" w:rsidRPr="000604EE" w14:paraId="2C32C372" w14:textId="77777777" w:rsidTr="00271B9B">
        <w:tc>
          <w:tcPr>
            <w:cnfStyle w:val="001000000000" w:firstRow="0" w:lastRow="0" w:firstColumn="1" w:lastColumn="0" w:oddVBand="0" w:evenVBand="0" w:oddHBand="0" w:evenHBand="0" w:firstRowFirstColumn="0" w:firstRowLastColumn="0" w:lastRowFirstColumn="0" w:lastRowLastColumn="0"/>
            <w:tcW w:w="12955" w:type="dxa"/>
            <w:gridSpan w:val="4"/>
          </w:tcPr>
          <w:p w14:paraId="66462628" w14:textId="5479B28C"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 xml:space="preserve">Vacancy Payment – </w:t>
            </w:r>
            <w:r w:rsidR="002571D5" w:rsidRPr="00A76818">
              <w:rPr>
                <w:rFonts w:ascii="Calibri" w:hAnsi="Calibri" w:cs="Calibri"/>
                <w:b w:val="0"/>
                <w:bCs w:val="0"/>
                <w:color w:val="000000" w:themeColor="text1"/>
              </w:rPr>
              <w:t>Service providers</w:t>
            </w:r>
            <w:r w:rsidRPr="00A76818">
              <w:rPr>
                <w:rFonts w:ascii="Calibri" w:hAnsi="Calibri" w:cs="Calibri"/>
                <w:b w:val="0"/>
                <w:bCs w:val="0"/>
                <w:color w:val="000000" w:themeColor="text1"/>
              </w:rPr>
              <w:t xml:space="preserve"> must abide by the terms of the master lease and pay rent for the unit</w:t>
            </w:r>
            <w:r w:rsidR="002571D5" w:rsidRPr="00A76818">
              <w:rPr>
                <w:rFonts w:ascii="Calibri" w:hAnsi="Calibri" w:cs="Calibri"/>
                <w:b w:val="0"/>
                <w:bCs w:val="0"/>
                <w:color w:val="000000" w:themeColor="text1"/>
              </w:rPr>
              <w:t xml:space="preserve"> </w:t>
            </w:r>
            <w:r w:rsidRPr="00A76818">
              <w:rPr>
                <w:rFonts w:ascii="Calibri" w:hAnsi="Calibri" w:cs="Calibri"/>
                <w:b w:val="0"/>
                <w:bCs w:val="0"/>
                <w:color w:val="000000" w:themeColor="text1"/>
              </w:rPr>
              <w:t xml:space="preserve">regardless of whether the unit is occupied. However, the </w:t>
            </w:r>
            <w:r w:rsidR="002571D5" w:rsidRPr="00A76818">
              <w:rPr>
                <w:rFonts w:ascii="Calibri" w:hAnsi="Calibri" w:cs="Calibri"/>
                <w:b w:val="0"/>
                <w:bCs w:val="0"/>
                <w:color w:val="000000" w:themeColor="text1"/>
              </w:rPr>
              <w:t>service provider</w:t>
            </w:r>
            <w:r w:rsidRPr="00A76818">
              <w:rPr>
                <w:rFonts w:ascii="Calibri" w:hAnsi="Calibri" w:cs="Calibri"/>
                <w:b w:val="0"/>
                <w:bCs w:val="0"/>
                <w:color w:val="000000" w:themeColor="text1"/>
              </w:rPr>
              <w:t xml:space="preserve"> must make every effort to house</w:t>
            </w:r>
            <w:r w:rsidR="002571D5" w:rsidRPr="00A76818">
              <w:rPr>
                <w:rFonts w:ascii="Calibri" w:hAnsi="Calibri" w:cs="Calibri"/>
                <w:b w:val="0"/>
                <w:bCs w:val="0"/>
                <w:color w:val="000000" w:themeColor="text1"/>
              </w:rPr>
              <w:t xml:space="preserve"> </w:t>
            </w:r>
            <w:r w:rsidRPr="00A76818">
              <w:rPr>
                <w:rFonts w:ascii="Calibri" w:hAnsi="Calibri" w:cs="Calibri"/>
                <w:b w:val="0"/>
                <w:bCs w:val="0"/>
                <w:color w:val="000000" w:themeColor="text1"/>
              </w:rPr>
              <w:t xml:space="preserve">an eligible </w:t>
            </w:r>
            <w:r w:rsidR="002571D5" w:rsidRPr="00A76818">
              <w:rPr>
                <w:rFonts w:ascii="Calibri" w:hAnsi="Calibri" w:cs="Calibri"/>
                <w:b w:val="0"/>
                <w:bCs w:val="0"/>
                <w:color w:val="000000" w:themeColor="text1"/>
              </w:rPr>
              <w:t>household</w:t>
            </w:r>
            <w:r w:rsidRPr="00A76818">
              <w:rPr>
                <w:rFonts w:ascii="Calibri" w:hAnsi="Calibri" w:cs="Calibri"/>
                <w:b w:val="0"/>
                <w:bCs w:val="0"/>
                <w:color w:val="000000" w:themeColor="text1"/>
              </w:rPr>
              <w:t xml:space="preserve"> in the vacant unit as quickly as possible.</w:t>
            </w:r>
          </w:p>
        </w:tc>
      </w:tr>
      <w:tr w:rsidR="00442BDB" w:rsidRPr="000604EE" w14:paraId="68FD26A7" w14:textId="77777777" w:rsidTr="00271B9B">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675" w:type="dxa"/>
            <w:gridSpan w:val="2"/>
            <w:shd w:val="clear" w:color="auto" w:fill="FFFFFF" w:themeFill="background1"/>
          </w:tcPr>
          <w:p w14:paraId="3280AA02"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Utilities (electricity, gas, water) –</w:t>
            </w:r>
          </w:p>
          <w:p w14:paraId="0D06CE0B"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only if included in the rent</w:t>
            </w:r>
          </w:p>
        </w:tc>
        <w:tc>
          <w:tcPr>
            <w:tcW w:w="8280" w:type="dxa"/>
            <w:gridSpan w:val="2"/>
            <w:shd w:val="clear" w:color="auto" w:fill="FFFFFF" w:themeFill="background1"/>
          </w:tcPr>
          <w:p w14:paraId="591B4221" w14:textId="77777777" w:rsidR="000B73C4" w:rsidRPr="00A76818" w:rsidRDefault="000B73C4"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Security Deposits –</w:t>
            </w:r>
          </w:p>
          <w:p w14:paraId="05C4C66E" w14:textId="77777777" w:rsidR="000B73C4" w:rsidRPr="00A76818" w:rsidRDefault="000B73C4"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not to exceed 2 months of rent</w:t>
            </w:r>
          </w:p>
        </w:tc>
      </w:tr>
      <w:tr w:rsidR="00442BDB" w:rsidRPr="000604EE" w14:paraId="45B13A5D" w14:textId="77777777" w:rsidTr="00271B9B">
        <w:tc>
          <w:tcPr>
            <w:cnfStyle w:val="001000000000" w:firstRow="0" w:lastRow="0" w:firstColumn="1" w:lastColumn="0" w:oddVBand="0" w:evenVBand="0" w:oddHBand="0" w:evenHBand="0" w:firstRowFirstColumn="0" w:firstRowLastColumn="0" w:lastRowFirstColumn="0" w:lastRowLastColumn="0"/>
            <w:tcW w:w="12955" w:type="dxa"/>
            <w:gridSpan w:val="4"/>
          </w:tcPr>
          <w:p w14:paraId="52C0B374"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 Damages are not an eligible leasing cost.</w:t>
            </w:r>
          </w:p>
        </w:tc>
      </w:tr>
    </w:tbl>
    <w:p w14:paraId="3B18D7BB" w14:textId="77777777" w:rsidR="000B73C4" w:rsidRPr="00A76818" w:rsidRDefault="000B73C4" w:rsidP="000604EE">
      <w:pPr>
        <w:autoSpaceDE w:val="0"/>
        <w:autoSpaceDN w:val="0"/>
        <w:adjustRightInd w:val="0"/>
        <w:contextualSpacing/>
        <w:rPr>
          <w:rFonts w:ascii="Calibri" w:hAnsi="Calibri" w:cs="Calibri"/>
          <w:color w:val="000000" w:themeColor="text1"/>
        </w:rPr>
      </w:pPr>
    </w:p>
    <w:tbl>
      <w:tblPr>
        <w:tblStyle w:val="GridTable4-Accent1"/>
        <w:tblW w:w="12955" w:type="dxa"/>
        <w:tblLook w:val="04A0" w:firstRow="1" w:lastRow="0" w:firstColumn="1" w:lastColumn="0" w:noHBand="0" w:noVBand="1"/>
      </w:tblPr>
      <w:tblGrid>
        <w:gridCol w:w="4675"/>
        <w:gridCol w:w="8280"/>
      </w:tblGrid>
      <w:tr w:rsidR="00442BDB" w:rsidRPr="000604EE" w14:paraId="2C909B30" w14:textId="77777777" w:rsidTr="00271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5" w:type="dxa"/>
            <w:gridSpan w:val="2"/>
          </w:tcPr>
          <w:p w14:paraId="4318E186"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CoC Leasing – Key Requirements</w:t>
            </w:r>
          </w:p>
        </w:tc>
      </w:tr>
      <w:tr w:rsidR="00442BDB" w:rsidRPr="000604EE" w14:paraId="0F917188" w14:textId="77777777" w:rsidTr="0027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FFFFFF" w:themeFill="background1"/>
          </w:tcPr>
          <w:p w14:paraId="429E3B2E"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Unit Rent Standard</w:t>
            </w:r>
          </w:p>
        </w:tc>
        <w:tc>
          <w:tcPr>
            <w:tcW w:w="8280" w:type="dxa"/>
            <w:shd w:val="clear" w:color="auto" w:fill="FFFFFF" w:themeFill="background1"/>
          </w:tcPr>
          <w:p w14:paraId="3D9B72D7" w14:textId="2D341B88" w:rsidR="000B73C4" w:rsidRPr="00A76818" w:rsidRDefault="000B73C4"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Rent paid by the </w:t>
            </w:r>
            <w:r w:rsidR="002571D5" w:rsidRPr="00A76818">
              <w:rPr>
                <w:rFonts w:ascii="Calibri" w:hAnsi="Calibri" w:cs="Calibri"/>
                <w:color w:val="000000" w:themeColor="text1"/>
              </w:rPr>
              <w:t>service provider</w:t>
            </w:r>
            <w:r w:rsidRPr="00A76818">
              <w:rPr>
                <w:rFonts w:ascii="Calibri" w:hAnsi="Calibri" w:cs="Calibri"/>
                <w:color w:val="000000" w:themeColor="text1"/>
              </w:rPr>
              <w:t xml:space="preserve"> for a unit must be reasonable in comparison to</w:t>
            </w:r>
            <w:r w:rsidR="002571D5" w:rsidRPr="00A76818">
              <w:rPr>
                <w:rFonts w:ascii="Calibri" w:hAnsi="Calibri" w:cs="Calibri"/>
                <w:color w:val="000000" w:themeColor="text1"/>
              </w:rPr>
              <w:t xml:space="preserve"> </w:t>
            </w:r>
            <w:r w:rsidRPr="00A76818">
              <w:rPr>
                <w:rFonts w:ascii="Calibri" w:hAnsi="Calibri" w:cs="Calibri"/>
                <w:color w:val="000000" w:themeColor="text1"/>
              </w:rPr>
              <w:t>similar units, cannot exceed comparable unassisted units and cannot exceed</w:t>
            </w:r>
            <w:r w:rsidR="002571D5" w:rsidRPr="00A76818">
              <w:rPr>
                <w:rFonts w:ascii="Calibri" w:hAnsi="Calibri" w:cs="Calibri"/>
                <w:color w:val="000000" w:themeColor="text1"/>
              </w:rPr>
              <w:t xml:space="preserve"> </w:t>
            </w:r>
            <w:r w:rsidRPr="00A76818">
              <w:rPr>
                <w:rFonts w:ascii="Calibri" w:hAnsi="Calibri" w:cs="Calibri"/>
                <w:color w:val="000000" w:themeColor="text1"/>
              </w:rPr>
              <w:t>Fair Market Rent.</w:t>
            </w:r>
          </w:p>
        </w:tc>
      </w:tr>
      <w:tr w:rsidR="00442BDB" w:rsidRPr="000604EE" w14:paraId="4E328469" w14:textId="77777777" w:rsidTr="00271B9B">
        <w:tc>
          <w:tcPr>
            <w:cnfStyle w:val="001000000000" w:firstRow="0" w:lastRow="0" w:firstColumn="1" w:lastColumn="0" w:oddVBand="0" w:evenVBand="0" w:oddHBand="0" w:evenHBand="0" w:firstRowFirstColumn="0" w:firstRowLastColumn="0" w:lastRowFirstColumn="0" w:lastRowLastColumn="0"/>
            <w:tcW w:w="4675" w:type="dxa"/>
            <w:shd w:val="clear" w:color="auto" w:fill="FFFFFF" w:themeFill="background1"/>
          </w:tcPr>
          <w:p w14:paraId="59BD3690"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Unit Lease – Master</w:t>
            </w:r>
          </w:p>
          <w:p w14:paraId="4AE30914"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Lease and Sublease</w:t>
            </w:r>
          </w:p>
        </w:tc>
        <w:tc>
          <w:tcPr>
            <w:tcW w:w="8280" w:type="dxa"/>
            <w:shd w:val="clear" w:color="auto" w:fill="FFFFFF" w:themeFill="background1"/>
          </w:tcPr>
          <w:p w14:paraId="7F07180C" w14:textId="429FB5B3" w:rsidR="000B73C4" w:rsidRPr="00A76818" w:rsidRDefault="002571D5"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 xml:space="preserve">Service providers </w:t>
            </w:r>
            <w:r w:rsidR="000B73C4" w:rsidRPr="00A76818">
              <w:rPr>
                <w:rFonts w:ascii="Calibri" w:hAnsi="Calibri" w:cs="Calibri"/>
                <w:color w:val="000000" w:themeColor="text1"/>
              </w:rPr>
              <w:t>must have a “master” lease</w:t>
            </w:r>
            <w:r w:rsidRPr="00A76818">
              <w:rPr>
                <w:rFonts w:ascii="Calibri" w:hAnsi="Calibri" w:cs="Calibri"/>
                <w:color w:val="000000" w:themeColor="text1"/>
              </w:rPr>
              <w:t xml:space="preserve"> </w:t>
            </w:r>
            <w:r w:rsidR="000B73C4" w:rsidRPr="00A76818">
              <w:rPr>
                <w:rFonts w:ascii="Calibri" w:hAnsi="Calibri" w:cs="Calibri"/>
                <w:color w:val="000000" w:themeColor="text1"/>
              </w:rPr>
              <w:t>agreement with the landlord/owner.</w:t>
            </w:r>
            <w:r w:rsidRPr="00A76818">
              <w:rPr>
                <w:rFonts w:ascii="Calibri" w:hAnsi="Calibri" w:cs="Calibri"/>
                <w:color w:val="000000" w:themeColor="text1"/>
              </w:rPr>
              <w:t xml:space="preserve"> </w:t>
            </w:r>
            <w:r w:rsidR="000B73C4" w:rsidRPr="00A76818">
              <w:rPr>
                <w:rFonts w:ascii="Calibri" w:hAnsi="Calibri" w:cs="Calibri"/>
                <w:color w:val="000000" w:themeColor="text1"/>
              </w:rPr>
              <w:t>Leasing costs are paid directly to the landlord/owner in accordance with the</w:t>
            </w:r>
            <w:r w:rsidRPr="00A76818">
              <w:rPr>
                <w:rFonts w:ascii="Calibri" w:hAnsi="Calibri" w:cs="Calibri"/>
                <w:color w:val="000000" w:themeColor="text1"/>
              </w:rPr>
              <w:t xml:space="preserve"> </w:t>
            </w:r>
            <w:r w:rsidR="000B73C4" w:rsidRPr="00A76818">
              <w:rPr>
                <w:rFonts w:ascii="Calibri" w:hAnsi="Calibri" w:cs="Calibri"/>
                <w:color w:val="000000" w:themeColor="text1"/>
              </w:rPr>
              <w:t xml:space="preserve">master lease. </w:t>
            </w:r>
            <w:r w:rsidRPr="00A76818">
              <w:rPr>
                <w:rFonts w:ascii="Calibri" w:hAnsi="Calibri" w:cs="Calibri"/>
                <w:color w:val="000000" w:themeColor="text1"/>
              </w:rPr>
              <w:t>Service providers</w:t>
            </w:r>
            <w:r w:rsidR="000B73C4" w:rsidRPr="00A76818">
              <w:rPr>
                <w:rFonts w:ascii="Calibri" w:hAnsi="Calibri" w:cs="Calibri"/>
                <w:color w:val="000000" w:themeColor="text1"/>
              </w:rPr>
              <w:t xml:space="preserve"> must have a sublease in place with </w:t>
            </w:r>
            <w:r w:rsidRPr="00A76818">
              <w:rPr>
                <w:rFonts w:ascii="Calibri" w:hAnsi="Calibri" w:cs="Calibri"/>
                <w:color w:val="000000" w:themeColor="text1"/>
              </w:rPr>
              <w:t>households</w:t>
            </w:r>
            <w:r w:rsidR="000B73C4" w:rsidRPr="00A76818">
              <w:rPr>
                <w:rFonts w:ascii="Calibri" w:hAnsi="Calibri" w:cs="Calibri"/>
                <w:color w:val="000000" w:themeColor="text1"/>
              </w:rPr>
              <w:t>.</w:t>
            </w:r>
          </w:p>
        </w:tc>
      </w:tr>
      <w:tr w:rsidR="00442BDB" w:rsidRPr="000604EE" w14:paraId="3F181BE7" w14:textId="77777777" w:rsidTr="0027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FFFFFF" w:themeFill="background1"/>
          </w:tcPr>
          <w:p w14:paraId="030E9A52" w14:textId="436BFA8F" w:rsidR="000B73C4" w:rsidRPr="00A76818" w:rsidRDefault="002571D5"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lastRenderedPageBreak/>
              <w:t>Household</w:t>
            </w:r>
            <w:r w:rsidR="000B73C4" w:rsidRPr="00A76818">
              <w:rPr>
                <w:rFonts w:ascii="Calibri" w:hAnsi="Calibri" w:cs="Calibri"/>
                <w:b w:val="0"/>
                <w:bCs w:val="0"/>
                <w:color w:val="000000" w:themeColor="text1"/>
              </w:rPr>
              <w:t xml:space="preserve"> Rent</w:t>
            </w:r>
            <w:r w:rsidRPr="00A76818">
              <w:rPr>
                <w:rFonts w:ascii="Calibri" w:hAnsi="Calibri" w:cs="Calibri"/>
                <w:b w:val="0"/>
                <w:bCs w:val="0"/>
                <w:color w:val="000000" w:themeColor="text1"/>
              </w:rPr>
              <w:t xml:space="preserve"> Contribution</w:t>
            </w:r>
          </w:p>
        </w:tc>
        <w:tc>
          <w:tcPr>
            <w:tcW w:w="8280" w:type="dxa"/>
            <w:shd w:val="clear" w:color="auto" w:fill="FFFFFF" w:themeFill="background1"/>
          </w:tcPr>
          <w:p w14:paraId="6242FE06" w14:textId="2E73508C" w:rsidR="000B73C4" w:rsidRPr="00A76818" w:rsidRDefault="002571D5"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Service providers</w:t>
            </w:r>
            <w:r w:rsidR="000B73C4" w:rsidRPr="00A76818">
              <w:rPr>
                <w:rFonts w:ascii="Calibri" w:hAnsi="Calibri" w:cs="Calibri"/>
                <w:color w:val="000000" w:themeColor="text1"/>
              </w:rPr>
              <w:t xml:space="preserve"> are not required to have </w:t>
            </w:r>
            <w:r w:rsidRPr="00A76818">
              <w:rPr>
                <w:rFonts w:ascii="Calibri" w:hAnsi="Calibri" w:cs="Calibri"/>
                <w:color w:val="000000" w:themeColor="text1"/>
              </w:rPr>
              <w:t>households</w:t>
            </w:r>
            <w:r w:rsidR="000B73C4" w:rsidRPr="00A76818">
              <w:rPr>
                <w:rFonts w:ascii="Calibri" w:hAnsi="Calibri" w:cs="Calibri"/>
                <w:color w:val="000000" w:themeColor="text1"/>
              </w:rPr>
              <w:t xml:space="preserve"> pay rent, but if they choose to charge </w:t>
            </w:r>
            <w:r w:rsidRPr="00A76818">
              <w:rPr>
                <w:rFonts w:ascii="Calibri" w:hAnsi="Calibri" w:cs="Calibri"/>
                <w:color w:val="000000" w:themeColor="text1"/>
              </w:rPr>
              <w:t>households</w:t>
            </w:r>
            <w:r w:rsidR="000B73C4" w:rsidRPr="00A76818">
              <w:rPr>
                <w:rFonts w:ascii="Calibri" w:hAnsi="Calibri" w:cs="Calibri"/>
                <w:color w:val="000000" w:themeColor="text1"/>
              </w:rPr>
              <w:t xml:space="preserve"> rent, the rent must be calculated in accordance with 24 CFR § </w:t>
            </w:r>
            <w:proofErr w:type="gramStart"/>
            <w:r w:rsidR="000B73C4" w:rsidRPr="00A76818">
              <w:rPr>
                <w:rFonts w:ascii="Calibri" w:hAnsi="Calibri" w:cs="Calibri"/>
                <w:color w:val="000000" w:themeColor="text1"/>
              </w:rPr>
              <w:t>578.77, and</w:t>
            </w:r>
            <w:proofErr w:type="gramEnd"/>
            <w:r w:rsidR="000B73C4" w:rsidRPr="00A76818">
              <w:rPr>
                <w:rFonts w:ascii="Calibri" w:hAnsi="Calibri" w:cs="Calibri"/>
                <w:color w:val="000000" w:themeColor="text1"/>
              </w:rPr>
              <w:t xml:space="preserve"> cannot exceed the highest of 30% of the </w:t>
            </w:r>
            <w:r w:rsidRPr="00A76818">
              <w:rPr>
                <w:rFonts w:ascii="Calibri" w:hAnsi="Calibri" w:cs="Calibri"/>
                <w:color w:val="000000" w:themeColor="text1"/>
              </w:rPr>
              <w:t>household</w:t>
            </w:r>
            <w:r w:rsidR="000B73C4" w:rsidRPr="00A76818">
              <w:rPr>
                <w:rFonts w:ascii="Calibri" w:hAnsi="Calibri" w:cs="Calibri"/>
                <w:color w:val="000000" w:themeColor="text1"/>
              </w:rPr>
              <w:t xml:space="preserve">’s adjusted monthly income, 10% of the </w:t>
            </w:r>
            <w:r w:rsidRPr="00A76818">
              <w:rPr>
                <w:rFonts w:ascii="Calibri" w:hAnsi="Calibri" w:cs="Calibri"/>
                <w:color w:val="000000" w:themeColor="text1"/>
              </w:rPr>
              <w:t>household</w:t>
            </w:r>
            <w:r w:rsidR="000B73C4" w:rsidRPr="00A76818">
              <w:rPr>
                <w:rFonts w:ascii="Calibri" w:hAnsi="Calibri" w:cs="Calibri"/>
                <w:color w:val="000000" w:themeColor="text1"/>
              </w:rPr>
              <w:t xml:space="preserve">’s monthly income, or the welfare rent. Any </w:t>
            </w:r>
            <w:r w:rsidRPr="00A76818">
              <w:rPr>
                <w:rFonts w:ascii="Calibri" w:hAnsi="Calibri" w:cs="Calibri"/>
                <w:color w:val="000000" w:themeColor="text1"/>
              </w:rPr>
              <w:t xml:space="preserve">household </w:t>
            </w:r>
            <w:r w:rsidR="000B73C4" w:rsidRPr="00A76818">
              <w:rPr>
                <w:rFonts w:ascii="Calibri" w:hAnsi="Calibri" w:cs="Calibri"/>
                <w:color w:val="000000" w:themeColor="text1"/>
              </w:rPr>
              <w:t>rent that is collected is considered Program Income and must be used for eligible costs in accordance with 24 CFR § 578.97.</w:t>
            </w:r>
          </w:p>
        </w:tc>
      </w:tr>
    </w:tbl>
    <w:p w14:paraId="4EBC6EA0" w14:textId="77777777" w:rsidR="000B73C4" w:rsidRPr="00A76818" w:rsidRDefault="000B73C4" w:rsidP="000604EE">
      <w:pPr>
        <w:contextualSpacing/>
        <w:rPr>
          <w:rFonts w:ascii="Calibri" w:hAnsi="Calibri" w:cs="Calibri"/>
          <w:color w:val="000000" w:themeColor="text1"/>
        </w:rPr>
      </w:pPr>
    </w:p>
    <w:p w14:paraId="4C4540A1" w14:textId="3AE05C9B" w:rsidR="00BC6C26" w:rsidRPr="0061434B" w:rsidRDefault="00BC6C26">
      <w:pPr>
        <w:pStyle w:val="Heading2"/>
        <w:numPr>
          <w:ilvl w:val="0"/>
          <w:numId w:val="25"/>
        </w:numPr>
        <w:spacing w:before="0" w:line="240" w:lineRule="auto"/>
        <w:contextualSpacing/>
        <w:rPr>
          <w:color w:val="0070C0"/>
        </w:rPr>
      </w:pPr>
      <w:bookmarkStart w:id="163" w:name="_Toc124255070"/>
      <w:r w:rsidRPr="0061434B">
        <w:rPr>
          <w:color w:val="0070C0"/>
        </w:rPr>
        <w:t>Services Requirements</w:t>
      </w:r>
      <w:bookmarkEnd w:id="163"/>
      <w:r w:rsidRPr="0061434B">
        <w:rPr>
          <w:color w:val="0070C0"/>
        </w:rPr>
        <w:t xml:space="preserve"> </w:t>
      </w:r>
    </w:p>
    <w:p w14:paraId="7D444001" w14:textId="4BEE06B5" w:rsidR="00615F2C" w:rsidRPr="00A76818" w:rsidRDefault="00AF17DC">
      <w:pPr>
        <w:pStyle w:val="ListParagraph"/>
        <w:numPr>
          <w:ilvl w:val="0"/>
          <w:numId w:val="28"/>
        </w:numPr>
        <w:rPr>
          <w:rFonts w:ascii="Calibri" w:hAnsi="Calibri"/>
          <w:color w:val="000000" w:themeColor="text1"/>
        </w:rPr>
      </w:pPr>
      <w:r w:rsidRPr="00A76818">
        <w:rPr>
          <w:rFonts w:ascii="Calibri" w:hAnsi="Calibri"/>
          <w:color w:val="000000" w:themeColor="text1"/>
        </w:rPr>
        <w:t>At a minimum</w:t>
      </w:r>
      <w:r w:rsidR="00615F2C" w:rsidRPr="00A76818">
        <w:rPr>
          <w:rFonts w:ascii="Calibri" w:hAnsi="Calibri"/>
          <w:color w:val="000000" w:themeColor="text1"/>
        </w:rPr>
        <w:t>, case managers will conduct an on-site visit at the PSH unit</w:t>
      </w:r>
      <w:r w:rsidRPr="00A76818">
        <w:rPr>
          <w:rFonts w:ascii="Calibri" w:hAnsi="Calibri"/>
          <w:color w:val="000000" w:themeColor="text1"/>
        </w:rPr>
        <w:t xml:space="preserve"> every 90 days.</w:t>
      </w:r>
    </w:p>
    <w:p w14:paraId="1A307164" w14:textId="74E144CD" w:rsidR="00615F2C" w:rsidRPr="00A76818" w:rsidRDefault="00615F2C">
      <w:pPr>
        <w:pStyle w:val="ListParagraph"/>
        <w:numPr>
          <w:ilvl w:val="2"/>
          <w:numId w:val="28"/>
        </w:numPr>
        <w:rPr>
          <w:rFonts w:ascii="Calibri" w:hAnsi="Calibri"/>
          <w:color w:val="000000" w:themeColor="text1"/>
        </w:rPr>
      </w:pPr>
      <w:r w:rsidRPr="00A76818">
        <w:rPr>
          <w:rFonts w:ascii="Calibri" w:hAnsi="Calibri"/>
          <w:color w:val="000000" w:themeColor="text1"/>
        </w:rPr>
        <w:t xml:space="preserve">Additional </w:t>
      </w:r>
      <w:r w:rsidR="00AF17DC" w:rsidRPr="00A76818">
        <w:rPr>
          <w:rFonts w:ascii="Calibri" w:hAnsi="Calibri"/>
          <w:color w:val="000000" w:themeColor="text1"/>
        </w:rPr>
        <w:t>case management</w:t>
      </w:r>
      <w:r w:rsidRPr="00A76818">
        <w:rPr>
          <w:rFonts w:ascii="Calibri" w:hAnsi="Calibri"/>
          <w:color w:val="000000" w:themeColor="text1"/>
        </w:rPr>
        <w:t xml:space="preserve"> can occur either on-site or at the </w:t>
      </w:r>
      <w:r w:rsidR="002571D5" w:rsidRPr="00A76818">
        <w:rPr>
          <w:rFonts w:ascii="Calibri" w:hAnsi="Calibri"/>
          <w:color w:val="000000" w:themeColor="text1"/>
        </w:rPr>
        <w:t xml:space="preserve">service </w:t>
      </w:r>
      <w:r w:rsidRPr="00A76818">
        <w:rPr>
          <w:rFonts w:ascii="Calibri" w:hAnsi="Calibri"/>
          <w:color w:val="000000" w:themeColor="text1"/>
        </w:rPr>
        <w:t xml:space="preserve">provider’s site, as necessary and coordinated with the client. </w:t>
      </w:r>
    </w:p>
    <w:p w14:paraId="17CD4B90" w14:textId="4A397AFF" w:rsidR="00BC6C26" w:rsidRPr="00A76818" w:rsidRDefault="00BC6C26">
      <w:pPr>
        <w:pStyle w:val="ListParagraph"/>
        <w:numPr>
          <w:ilvl w:val="0"/>
          <w:numId w:val="28"/>
        </w:numPr>
        <w:rPr>
          <w:rFonts w:ascii="Calibri" w:hAnsi="Calibri"/>
          <w:color w:val="000000" w:themeColor="text1"/>
        </w:rPr>
      </w:pPr>
      <w:r w:rsidRPr="00A76818">
        <w:rPr>
          <w:rFonts w:ascii="Calibri" w:hAnsi="Calibri"/>
          <w:color w:val="000000" w:themeColor="text1"/>
        </w:rPr>
        <w:t xml:space="preserve">PSH programs, through collaborative arrangement and/or by referral, must offer services to all clients that are tailored to each client’s needs. Services include, but are not limited to: </w:t>
      </w:r>
    </w:p>
    <w:p w14:paraId="39D89C71" w14:textId="77777777" w:rsidR="00BC6C26" w:rsidRPr="00A76818" w:rsidRDefault="00BC6C26">
      <w:pPr>
        <w:pStyle w:val="ListParagraph"/>
        <w:numPr>
          <w:ilvl w:val="0"/>
          <w:numId w:val="29"/>
        </w:numPr>
        <w:rPr>
          <w:rFonts w:ascii="Calibri" w:hAnsi="Calibri"/>
          <w:color w:val="000000" w:themeColor="text1"/>
        </w:rPr>
      </w:pPr>
      <w:r w:rsidRPr="00A76818">
        <w:rPr>
          <w:rFonts w:ascii="Calibri" w:hAnsi="Calibri"/>
          <w:color w:val="000000" w:themeColor="text1"/>
        </w:rPr>
        <w:t>Housing Support</w:t>
      </w:r>
    </w:p>
    <w:p w14:paraId="45F67FAE" w14:textId="77777777" w:rsidR="00BC6C26" w:rsidRPr="00A76818" w:rsidRDefault="00BC6C26">
      <w:pPr>
        <w:pStyle w:val="ListParagraph"/>
        <w:numPr>
          <w:ilvl w:val="3"/>
          <w:numId w:val="13"/>
        </w:numPr>
        <w:rPr>
          <w:rFonts w:ascii="Calibri" w:hAnsi="Calibri"/>
          <w:color w:val="000000" w:themeColor="text1"/>
        </w:rPr>
      </w:pPr>
      <w:r w:rsidRPr="00A76818">
        <w:rPr>
          <w:rFonts w:ascii="Calibri" w:hAnsi="Calibri"/>
          <w:color w:val="000000" w:themeColor="text1"/>
        </w:rPr>
        <w:t>Intake and assessment</w:t>
      </w:r>
    </w:p>
    <w:p w14:paraId="1C8D0DE1" w14:textId="77777777" w:rsidR="00BC6C26" w:rsidRPr="00A76818" w:rsidRDefault="00BC6C26">
      <w:pPr>
        <w:pStyle w:val="ListParagraph"/>
        <w:numPr>
          <w:ilvl w:val="3"/>
          <w:numId w:val="13"/>
        </w:numPr>
        <w:rPr>
          <w:rFonts w:ascii="Calibri" w:hAnsi="Calibri"/>
          <w:color w:val="000000" w:themeColor="text1"/>
        </w:rPr>
      </w:pPr>
      <w:r w:rsidRPr="00A76818">
        <w:rPr>
          <w:rFonts w:ascii="Calibri" w:hAnsi="Calibri"/>
          <w:color w:val="000000" w:themeColor="text1"/>
        </w:rPr>
        <w:t>Rental assistance</w:t>
      </w:r>
    </w:p>
    <w:p w14:paraId="6A5A3825" w14:textId="77777777" w:rsidR="00BC6C26" w:rsidRPr="00A76818" w:rsidRDefault="00BC6C26">
      <w:pPr>
        <w:pStyle w:val="ListParagraph"/>
        <w:numPr>
          <w:ilvl w:val="3"/>
          <w:numId w:val="13"/>
        </w:numPr>
        <w:rPr>
          <w:rFonts w:ascii="Calibri" w:hAnsi="Calibri"/>
          <w:color w:val="000000" w:themeColor="text1"/>
        </w:rPr>
      </w:pPr>
      <w:r w:rsidRPr="00A76818">
        <w:rPr>
          <w:rFonts w:ascii="Calibri" w:hAnsi="Calibri"/>
          <w:color w:val="000000" w:themeColor="text1"/>
        </w:rPr>
        <w:t>Legal assistance</w:t>
      </w:r>
    </w:p>
    <w:p w14:paraId="2228C141" w14:textId="77777777" w:rsidR="00BC6C26" w:rsidRPr="00A76818" w:rsidRDefault="00BC6C26">
      <w:pPr>
        <w:pStyle w:val="ListParagraph"/>
        <w:numPr>
          <w:ilvl w:val="3"/>
          <w:numId w:val="13"/>
        </w:numPr>
        <w:rPr>
          <w:rFonts w:ascii="Calibri" w:hAnsi="Calibri"/>
          <w:color w:val="000000" w:themeColor="text1"/>
        </w:rPr>
      </w:pPr>
      <w:r w:rsidRPr="00A76818">
        <w:rPr>
          <w:rFonts w:ascii="Calibri" w:hAnsi="Calibri"/>
          <w:color w:val="000000" w:themeColor="text1"/>
        </w:rPr>
        <w:t>Assistance with housing applications</w:t>
      </w:r>
    </w:p>
    <w:p w14:paraId="108A9DFA" w14:textId="77777777" w:rsidR="00BC6C26" w:rsidRPr="00A76818" w:rsidRDefault="00BC6C26">
      <w:pPr>
        <w:pStyle w:val="ListParagraph"/>
        <w:numPr>
          <w:ilvl w:val="3"/>
          <w:numId w:val="13"/>
        </w:numPr>
        <w:rPr>
          <w:rFonts w:ascii="Calibri" w:hAnsi="Calibri"/>
          <w:color w:val="000000" w:themeColor="text1"/>
        </w:rPr>
      </w:pPr>
      <w:r w:rsidRPr="00A76818">
        <w:rPr>
          <w:rFonts w:ascii="Calibri" w:hAnsi="Calibri"/>
          <w:color w:val="000000" w:themeColor="text1"/>
        </w:rPr>
        <w:t>Information and training regarding tenants’ rights and responsibilities</w:t>
      </w:r>
    </w:p>
    <w:p w14:paraId="30DB3E9D" w14:textId="77777777" w:rsidR="00BC6C26" w:rsidRPr="00A76818" w:rsidRDefault="00BC6C26">
      <w:pPr>
        <w:pStyle w:val="ListParagraph"/>
        <w:numPr>
          <w:ilvl w:val="3"/>
          <w:numId w:val="13"/>
        </w:numPr>
        <w:rPr>
          <w:rFonts w:ascii="Calibri" w:hAnsi="Calibri"/>
          <w:color w:val="000000" w:themeColor="text1"/>
        </w:rPr>
      </w:pPr>
      <w:r w:rsidRPr="00A76818">
        <w:rPr>
          <w:rFonts w:ascii="Calibri" w:hAnsi="Calibri"/>
          <w:color w:val="000000" w:themeColor="text1"/>
        </w:rPr>
        <w:t>Education and assistance around landlord-tenants’ rights and responsibilities</w:t>
      </w:r>
    </w:p>
    <w:p w14:paraId="65FDC8C0" w14:textId="77777777" w:rsidR="00BC6C26" w:rsidRPr="00A76818" w:rsidRDefault="00BC6C26">
      <w:pPr>
        <w:pStyle w:val="ListParagraph"/>
        <w:numPr>
          <w:ilvl w:val="3"/>
          <w:numId w:val="13"/>
        </w:numPr>
        <w:rPr>
          <w:rFonts w:ascii="Calibri" w:hAnsi="Calibri"/>
          <w:color w:val="000000" w:themeColor="text1"/>
        </w:rPr>
      </w:pPr>
      <w:r w:rsidRPr="00A76818">
        <w:rPr>
          <w:rFonts w:ascii="Calibri" w:hAnsi="Calibri"/>
          <w:color w:val="000000" w:themeColor="text1"/>
        </w:rPr>
        <w:t>Mediation and negotiation with landlords</w:t>
      </w:r>
    </w:p>
    <w:p w14:paraId="540B6509" w14:textId="77777777" w:rsidR="00BC6C26" w:rsidRPr="00A76818" w:rsidRDefault="00BC6C26">
      <w:pPr>
        <w:pStyle w:val="ListParagraph"/>
        <w:numPr>
          <w:ilvl w:val="0"/>
          <w:numId w:val="29"/>
        </w:numPr>
        <w:rPr>
          <w:rFonts w:ascii="Calibri" w:hAnsi="Calibri"/>
          <w:color w:val="000000" w:themeColor="text1"/>
        </w:rPr>
      </w:pPr>
      <w:r w:rsidRPr="00A76818">
        <w:rPr>
          <w:rFonts w:ascii="Calibri" w:hAnsi="Calibri"/>
          <w:color w:val="000000" w:themeColor="text1"/>
        </w:rPr>
        <w:t>Socialization &amp; Daily Function</w:t>
      </w:r>
    </w:p>
    <w:p w14:paraId="542FEAB4" w14:textId="77777777" w:rsidR="00BC6C26" w:rsidRPr="00A76818" w:rsidRDefault="00BC6C26">
      <w:pPr>
        <w:pStyle w:val="ListParagraph"/>
        <w:numPr>
          <w:ilvl w:val="0"/>
          <w:numId w:val="41"/>
        </w:numPr>
        <w:rPr>
          <w:rFonts w:ascii="Calibri" w:hAnsi="Calibri"/>
          <w:color w:val="000000" w:themeColor="text1"/>
        </w:rPr>
      </w:pPr>
      <w:r w:rsidRPr="00A76818">
        <w:rPr>
          <w:rFonts w:ascii="Calibri" w:hAnsi="Calibri"/>
          <w:color w:val="000000" w:themeColor="text1"/>
        </w:rPr>
        <w:t>Daily living skills training</w:t>
      </w:r>
    </w:p>
    <w:p w14:paraId="4D4BCC76" w14:textId="77777777" w:rsidR="00BC6C26" w:rsidRPr="00A76818" w:rsidRDefault="00BC6C26">
      <w:pPr>
        <w:pStyle w:val="ListParagraph"/>
        <w:numPr>
          <w:ilvl w:val="0"/>
          <w:numId w:val="41"/>
        </w:numPr>
        <w:rPr>
          <w:rFonts w:ascii="Calibri" w:hAnsi="Calibri"/>
          <w:color w:val="000000" w:themeColor="text1"/>
        </w:rPr>
      </w:pPr>
      <w:r w:rsidRPr="00A76818">
        <w:rPr>
          <w:rFonts w:ascii="Calibri" w:hAnsi="Calibri"/>
          <w:color w:val="000000" w:themeColor="text1"/>
        </w:rPr>
        <w:t>Budgeting and money management skills and training</w:t>
      </w:r>
    </w:p>
    <w:p w14:paraId="6FEFB93C" w14:textId="77777777" w:rsidR="00BC6C26" w:rsidRPr="00A76818" w:rsidRDefault="00BC6C26">
      <w:pPr>
        <w:pStyle w:val="ListParagraph"/>
        <w:numPr>
          <w:ilvl w:val="0"/>
          <w:numId w:val="41"/>
        </w:numPr>
        <w:rPr>
          <w:rFonts w:ascii="Calibri" w:hAnsi="Calibri"/>
          <w:color w:val="000000" w:themeColor="text1"/>
        </w:rPr>
      </w:pPr>
      <w:r w:rsidRPr="00A76818">
        <w:rPr>
          <w:rFonts w:ascii="Calibri" w:hAnsi="Calibri"/>
          <w:color w:val="000000" w:themeColor="text1"/>
        </w:rPr>
        <w:t>Skills and training in maintaining a household</w:t>
      </w:r>
    </w:p>
    <w:p w14:paraId="5AA221FD" w14:textId="37F44561" w:rsidR="00BC6C26" w:rsidRPr="00A76818" w:rsidRDefault="00BC6C26">
      <w:pPr>
        <w:pStyle w:val="ListParagraph"/>
        <w:numPr>
          <w:ilvl w:val="0"/>
          <w:numId w:val="41"/>
        </w:numPr>
        <w:rPr>
          <w:rFonts w:ascii="Calibri" w:hAnsi="Calibri"/>
          <w:color w:val="000000" w:themeColor="text1"/>
        </w:rPr>
      </w:pPr>
      <w:r w:rsidRPr="00A76818">
        <w:rPr>
          <w:rFonts w:ascii="Calibri" w:hAnsi="Calibri"/>
          <w:color w:val="000000" w:themeColor="text1"/>
        </w:rPr>
        <w:t xml:space="preserve">Eligibility screening for, and assistance applying for and retaining mainstream resources (SSI, </w:t>
      </w:r>
      <w:r w:rsidR="00C777B8" w:rsidRPr="00A76818">
        <w:rPr>
          <w:rFonts w:ascii="Calibri" w:hAnsi="Calibri"/>
          <w:color w:val="000000" w:themeColor="text1"/>
        </w:rPr>
        <w:t>CalWORKs</w:t>
      </w:r>
      <w:r w:rsidRPr="00A76818">
        <w:rPr>
          <w:rFonts w:ascii="Calibri" w:hAnsi="Calibri"/>
          <w:color w:val="000000" w:themeColor="text1"/>
        </w:rPr>
        <w:t xml:space="preserve">, </w:t>
      </w:r>
      <w:r w:rsidR="00C777B8" w:rsidRPr="00A76818">
        <w:rPr>
          <w:rFonts w:ascii="Calibri" w:hAnsi="Calibri"/>
          <w:color w:val="000000" w:themeColor="text1"/>
        </w:rPr>
        <w:t>Medi</w:t>
      </w:r>
      <w:r w:rsidR="00C777B8">
        <w:rPr>
          <w:rFonts w:ascii="Calibri" w:hAnsi="Calibri"/>
          <w:color w:val="000000" w:themeColor="text1"/>
        </w:rPr>
        <w:t>-</w:t>
      </w:r>
      <w:r w:rsidR="00C777B8" w:rsidRPr="00A76818">
        <w:rPr>
          <w:rFonts w:ascii="Calibri" w:hAnsi="Calibri"/>
          <w:color w:val="000000" w:themeColor="text1"/>
        </w:rPr>
        <w:t>Cal</w:t>
      </w:r>
      <w:r w:rsidRPr="00A76818">
        <w:rPr>
          <w:rFonts w:ascii="Calibri" w:hAnsi="Calibri"/>
          <w:color w:val="000000" w:themeColor="text1"/>
        </w:rPr>
        <w:t>, Veterans benefits, etc.)</w:t>
      </w:r>
    </w:p>
    <w:p w14:paraId="18FED608" w14:textId="77777777" w:rsidR="00BC6C26" w:rsidRPr="00A76818" w:rsidRDefault="00BC6C26">
      <w:pPr>
        <w:pStyle w:val="ListParagraph"/>
        <w:numPr>
          <w:ilvl w:val="0"/>
          <w:numId w:val="41"/>
        </w:numPr>
        <w:rPr>
          <w:rFonts w:ascii="Calibri" w:hAnsi="Calibri"/>
          <w:color w:val="000000" w:themeColor="text1"/>
        </w:rPr>
      </w:pPr>
      <w:r w:rsidRPr="00A76818">
        <w:rPr>
          <w:rFonts w:ascii="Calibri" w:hAnsi="Calibri"/>
          <w:color w:val="000000" w:themeColor="text1"/>
        </w:rPr>
        <w:t>Vocational and employment assistance or training and referral</w:t>
      </w:r>
    </w:p>
    <w:p w14:paraId="0365B2B3" w14:textId="77777777" w:rsidR="00BC6C26" w:rsidRPr="00A76818" w:rsidRDefault="00BC6C26">
      <w:pPr>
        <w:pStyle w:val="ListParagraph"/>
        <w:numPr>
          <w:ilvl w:val="0"/>
          <w:numId w:val="41"/>
        </w:numPr>
        <w:rPr>
          <w:rFonts w:ascii="Calibri" w:hAnsi="Calibri"/>
          <w:color w:val="000000" w:themeColor="text1"/>
        </w:rPr>
      </w:pPr>
      <w:r w:rsidRPr="00A76818">
        <w:rPr>
          <w:rFonts w:ascii="Calibri" w:hAnsi="Calibri"/>
          <w:color w:val="000000" w:themeColor="text1"/>
        </w:rPr>
        <w:t>Supportive employment and referral for employment</w:t>
      </w:r>
    </w:p>
    <w:p w14:paraId="6F851C92" w14:textId="77777777" w:rsidR="00BC6C26" w:rsidRPr="00A76818" w:rsidRDefault="00BC6C26">
      <w:pPr>
        <w:pStyle w:val="ListParagraph"/>
        <w:numPr>
          <w:ilvl w:val="0"/>
          <w:numId w:val="41"/>
        </w:numPr>
        <w:rPr>
          <w:rFonts w:ascii="Calibri" w:hAnsi="Calibri"/>
          <w:color w:val="000000" w:themeColor="text1"/>
        </w:rPr>
      </w:pPr>
      <w:r w:rsidRPr="00A76818">
        <w:rPr>
          <w:rFonts w:ascii="Calibri" w:hAnsi="Calibri"/>
          <w:color w:val="000000" w:themeColor="text1"/>
        </w:rPr>
        <w:t>Interpersonal communication skills</w:t>
      </w:r>
    </w:p>
    <w:p w14:paraId="60A5F8EF" w14:textId="77777777" w:rsidR="00BC6C26" w:rsidRPr="00A76818" w:rsidRDefault="00BC6C26">
      <w:pPr>
        <w:pStyle w:val="ListParagraph"/>
        <w:numPr>
          <w:ilvl w:val="0"/>
          <w:numId w:val="41"/>
        </w:numPr>
        <w:rPr>
          <w:rFonts w:ascii="Calibri" w:hAnsi="Calibri"/>
          <w:color w:val="000000" w:themeColor="text1"/>
        </w:rPr>
      </w:pPr>
      <w:r w:rsidRPr="00A76818">
        <w:rPr>
          <w:rFonts w:ascii="Calibri" w:hAnsi="Calibri"/>
          <w:color w:val="000000" w:themeColor="text1"/>
        </w:rPr>
        <w:t>Transportation, including accompaniment to appointments, home visits</w:t>
      </w:r>
    </w:p>
    <w:p w14:paraId="5A4BD83E" w14:textId="77777777" w:rsidR="00BC6C26" w:rsidRPr="00A76818" w:rsidRDefault="00BC6C26">
      <w:pPr>
        <w:pStyle w:val="ListParagraph"/>
        <w:numPr>
          <w:ilvl w:val="0"/>
          <w:numId w:val="41"/>
        </w:numPr>
        <w:rPr>
          <w:rFonts w:ascii="Calibri" w:hAnsi="Calibri"/>
          <w:color w:val="000000" w:themeColor="text1"/>
        </w:rPr>
      </w:pPr>
      <w:r w:rsidRPr="00A76818">
        <w:rPr>
          <w:rFonts w:ascii="Calibri" w:hAnsi="Calibri"/>
          <w:color w:val="000000" w:themeColor="text1"/>
        </w:rPr>
        <w:t>Childcare</w:t>
      </w:r>
    </w:p>
    <w:p w14:paraId="2AB3A02F" w14:textId="77777777" w:rsidR="00BC6C26" w:rsidRPr="00A76818" w:rsidRDefault="00BC6C26">
      <w:pPr>
        <w:pStyle w:val="ListParagraph"/>
        <w:numPr>
          <w:ilvl w:val="0"/>
          <w:numId w:val="41"/>
        </w:numPr>
        <w:rPr>
          <w:rFonts w:ascii="Calibri" w:hAnsi="Calibri"/>
          <w:color w:val="000000" w:themeColor="text1"/>
        </w:rPr>
      </w:pPr>
      <w:r w:rsidRPr="00A76818">
        <w:rPr>
          <w:rFonts w:ascii="Calibri" w:hAnsi="Calibri"/>
          <w:color w:val="000000" w:themeColor="text1"/>
        </w:rPr>
        <w:t>Parenting information and education</w:t>
      </w:r>
    </w:p>
    <w:p w14:paraId="481506DC" w14:textId="77777777" w:rsidR="00BC6C26" w:rsidRPr="00A76818" w:rsidRDefault="00BC6C26">
      <w:pPr>
        <w:pStyle w:val="ListParagraph"/>
        <w:numPr>
          <w:ilvl w:val="0"/>
          <w:numId w:val="41"/>
        </w:numPr>
        <w:rPr>
          <w:rFonts w:ascii="Calibri" w:hAnsi="Calibri"/>
          <w:color w:val="000000" w:themeColor="text1"/>
        </w:rPr>
      </w:pPr>
      <w:r w:rsidRPr="00A76818">
        <w:rPr>
          <w:rFonts w:ascii="Calibri" w:hAnsi="Calibri"/>
          <w:color w:val="000000" w:themeColor="text1"/>
        </w:rPr>
        <w:t>Conflict resolution and crisis intervention</w:t>
      </w:r>
    </w:p>
    <w:p w14:paraId="69B51351" w14:textId="7AB7ABAC" w:rsidR="00BC6C26" w:rsidRPr="00A76818" w:rsidRDefault="00BC6C26">
      <w:pPr>
        <w:pStyle w:val="ListParagraph"/>
        <w:numPr>
          <w:ilvl w:val="0"/>
          <w:numId w:val="41"/>
        </w:numPr>
        <w:rPr>
          <w:rFonts w:ascii="Calibri" w:hAnsi="Calibri"/>
          <w:color w:val="000000" w:themeColor="text1"/>
        </w:rPr>
      </w:pPr>
      <w:r w:rsidRPr="00A76818">
        <w:rPr>
          <w:rFonts w:ascii="Calibri" w:hAnsi="Calibri"/>
          <w:color w:val="000000" w:themeColor="text1"/>
        </w:rPr>
        <w:lastRenderedPageBreak/>
        <w:t xml:space="preserve">Helping </w:t>
      </w:r>
      <w:r w:rsidR="002571D5" w:rsidRPr="00A76818">
        <w:rPr>
          <w:rFonts w:ascii="Calibri" w:hAnsi="Calibri"/>
          <w:color w:val="000000" w:themeColor="text1"/>
        </w:rPr>
        <w:t>households</w:t>
      </w:r>
      <w:r w:rsidRPr="00A76818">
        <w:rPr>
          <w:rFonts w:ascii="Calibri" w:hAnsi="Calibri"/>
          <w:color w:val="000000" w:themeColor="text1"/>
        </w:rPr>
        <w:t xml:space="preserve"> connect to meaningful daily activities</w:t>
      </w:r>
    </w:p>
    <w:p w14:paraId="62B2EBC1" w14:textId="77777777" w:rsidR="00BC6C26" w:rsidRPr="00A76818" w:rsidRDefault="00BC6C26">
      <w:pPr>
        <w:pStyle w:val="ListParagraph"/>
        <w:numPr>
          <w:ilvl w:val="0"/>
          <w:numId w:val="41"/>
        </w:numPr>
        <w:rPr>
          <w:rFonts w:ascii="Calibri" w:hAnsi="Calibri"/>
          <w:color w:val="000000" w:themeColor="text1"/>
        </w:rPr>
      </w:pPr>
      <w:r w:rsidRPr="00A76818">
        <w:rPr>
          <w:rFonts w:ascii="Calibri" w:hAnsi="Calibri"/>
          <w:color w:val="000000" w:themeColor="text1"/>
        </w:rPr>
        <w:t>Social, cultural, or recreational activities</w:t>
      </w:r>
    </w:p>
    <w:p w14:paraId="050B4972" w14:textId="77777777" w:rsidR="00BC6C26" w:rsidRPr="00A76818" w:rsidRDefault="00BC6C26">
      <w:pPr>
        <w:pStyle w:val="ListParagraph"/>
        <w:numPr>
          <w:ilvl w:val="0"/>
          <w:numId w:val="41"/>
        </w:numPr>
        <w:rPr>
          <w:rFonts w:ascii="Calibri" w:hAnsi="Calibri"/>
          <w:color w:val="000000" w:themeColor="text1"/>
        </w:rPr>
      </w:pPr>
      <w:r w:rsidRPr="00A76818">
        <w:rPr>
          <w:rFonts w:ascii="Calibri" w:hAnsi="Calibri"/>
          <w:color w:val="000000" w:themeColor="text1"/>
        </w:rPr>
        <w:t>Opportunities for peer-to-peer education and support</w:t>
      </w:r>
    </w:p>
    <w:p w14:paraId="1D0D5755" w14:textId="77777777" w:rsidR="00BC6C26" w:rsidRPr="00A76818" w:rsidRDefault="00BC6C26">
      <w:pPr>
        <w:pStyle w:val="ListParagraph"/>
        <w:numPr>
          <w:ilvl w:val="0"/>
          <w:numId w:val="41"/>
        </w:numPr>
        <w:rPr>
          <w:rFonts w:ascii="Calibri" w:hAnsi="Calibri"/>
          <w:color w:val="000000" w:themeColor="text1"/>
        </w:rPr>
      </w:pPr>
      <w:r w:rsidRPr="00A76818">
        <w:rPr>
          <w:rFonts w:ascii="Calibri" w:hAnsi="Calibri"/>
          <w:color w:val="000000" w:themeColor="text1"/>
        </w:rPr>
        <w:t>Support groups and other services to maintain, preserve, and promote independence, including optimal physical, social, and psychological development and functioning</w:t>
      </w:r>
    </w:p>
    <w:p w14:paraId="23DC2535" w14:textId="77777777" w:rsidR="00BC6C26" w:rsidRPr="00A76818" w:rsidRDefault="00BC6C26">
      <w:pPr>
        <w:pStyle w:val="ListParagraph"/>
        <w:numPr>
          <w:ilvl w:val="0"/>
          <w:numId w:val="29"/>
        </w:numPr>
        <w:rPr>
          <w:rFonts w:ascii="Calibri" w:hAnsi="Calibri"/>
          <w:color w:val="000000" w:themeColor="text1"/>
        </w:rPr>
      </w:pPr>
      <w:r w:rsidRPr="00A76818">
        <w:rPr>
          <w:rFonts w:ascii="Calibri" w:hAnsi="Calibri"/>
          <w:color w:val="000000" w:themeColor="text1"/>
        </w:rPr>
        <w:t>Wellness</w:t>
      </w:r>
    </w:p>
    <w:p w14:paraId="4F8C271D" w14:textId="77777777" w:rsidR="00BC6C26" w:rsidRPr="00A76818" w:rsidRDefault="00BC6C26">
      <w:pPr>
        <w:pStyle w:val="ListParagraph"/>
        <w:numPr>
          <w:ilvl w:val="0"/>
          <w:numId w:val="42"/>
        </w:numPr>
        <w:rPr>
          <w:rFonts w:ascii="Calibri" w:hAnsi="Calibri"/>
          <w:color w:val="000000" w:themeColor="text1"/>
        </w:rPr>
      </w:pPr>
      <w:r w:rsidRPr="00A76818">
        <w:rPr>
          <w:rFonts w:ascii="Calibri" w:hAnsi="Calibri"/>
          <w:color w:val="000000" w:themeColor="text1"/>
        </w:rPr>
        <w:t>Service coordination</w:t>
      </w:r>
    </w:p>
    <w:p w14:paraId="4EC55A9A" w14:textId="77777777" w:rsidR="00BC6C26" w:rsidRPr="00A76818" w:rsidRDefault="00BC6C26">
      <w:pPr>
        <w:pStyle w:val="ListParagraph"/>
        <w:numPr>
          <w:ilvl w:val="0"/>
          <w:numId w:val="42"/>
        </w:numPr>
        <w:rPr>
          <w:rFonts w:ascii="Calibri" w:hAnsi="Calibri"/>
          <w:color w:val="000000" w:themeColor="text1"/>
        </w:rPr>
      </w:pPr>
      <w:r w:rsidRPr="00A76818">
        <w:rPr>
          <w:rFonts w:ascii="Calibri" w:hAnsi="Calibri"/>
          <w:color w:val="000000" w:themeColor="text1"/>
        </w:rPr>
        <w:t>Mental health counseling and education</w:t>
      </w:r>
    </w:p>
    <w:p w14:paraId="0431A256" w14:textId="77777777" w:rsidR="00BC6C26" w:rsidRPr="00A76818" w:rsidRDefault="00BC6C26">
      <w:pPr>
        <w:pStyle w:val="ListParagraph"/>
        <w:numPr>
          <w:ilvl w:val="0"/>
          <w:numId w:val="42"/>
        </w:numPr>
        <w:rPr>
          <w:rFonts w:ascii="Calibri" w:hAnsi="Calibri"/>
          <w:color w:val="000000" w:themeColor="text1"/>
        </w:rPr>
      </w:pPr>
      <w:r w:rsidRPr="00A76818">
        <w:rPr>
          <w:rFonts w:ascii="Calibri" w:hAnsi="Calibri"/>
          <w:color w:val="000000" w:themeColor="text1"/>
        </w:rPr>
        <w:t>Substance abuse education and counseling</w:t>
      </w:r>
    </w:p>
    <w:p w14:paraId="7F2D6F4A" w14:textId="77777777" w:rsidR="00BC6C26" w:rsidRPr="00A76818" w:rsidRDefault="00BC6C26">
      <w:pPr>
        <w:pStyle w:val="ListParagraph"/>
        <w:numPr>
          <w:ilvl w:val="0"/>
          <w:numId w:val="42"/>
        </w:numPr>
        <w:rPr>
          <w:rFonts w:ascii="Calibri" w:hAnsi="Calibri"/>
          <w:color w:val="000000" w:themeColor="text1"/>
        </w:rPr>
      </w:pPr>
      <w:r w:rsidRPr="00A76818">
        <w:rPr>
          <w:rFonts w:ascii="Calibri" w:hAnsi="Calibri"/>
          <w:color w:val="000000" w:themeColor="text1"/>
        </w:rPr>
        <w:t>Effective use of health care (medical/dental/mental health/psychiatric)</w:t>
      </w:r>
    </w:p>
    <w:p w14:paraId="0D1376FA" w14:textId="17296E5F" w:rsidR="00BC6C26" w:rsidRDefault="00BC6C26">
      <w:pPr>
        <w:pStyle w:val="ListParagraph"/>
        <w:numPr>
          <w:ilvl w:val="0"/>
          <w:numId w:val="42"/>
        </w:numPr>
        <w:rPr>
          <w:rFonts w:ascii="Calibri" w:hAnsi="Calibri"/>
          <w:color w:val="000000" w:themeColor="text1"/>
        </w:rPr>
      </w:pPr>
      <w:r w:rsidRPr="00A76818">
        <w:rPr>
          <w:rFonts w:ascii="Calibri" w:hAnsi="Calibri"/>
          <w:color w:val="000000" w:themeColor="text1"/>
        </w:rPr>
        <w:t xml:space="preserve">Preventive health services </w:t>
      </w:r>
    </w:p>
    <w:p w14:paraId="2B7BEC48" w14:textId="1AFCC5B7" w:rsidR="00271B9B" w:rsidRDefault="00271B9B" w:rsidP="00271B9B">
      <w:pPr>
        <w:rPr>
          <w:rFonts w:ascii="Calibri" w:hAnsi="Calibri"/>
          <w:color w:val="000000" w:themeColor="text1"/>
        </w:rPr>
      </w:pPr>
    </w:p>
    <w:p w14:paraId="6E39D059" w14:textId="3AFAE27D" w:rsidR="003031BB" w:rsidRDefault="003031BB" w:rsidP="00271B9B">
      <w:pPr>
        <w:rPr>
          <w:rFonts w:ascii="Calibri" w:hAnsi="Calibri"/>
          <w:color w:val="000000" w:themeColor="text1"/>
        </w:rPr>
      </w:pPr>
    </w:p>
    <w:p w14:paraId="45CFAE80" w14:textId="4B663D37" w:rsidR="003031BB" w:rsidRDefault="003031BB" w:rsidP="00271B9B">
      <w:pPr>
        <w:rPr>
          <w:rFonts w:ascii="Calibri" w:hAnsi="Calibri"/>
          <w:color w:val="000000" w:themeColor="text1"/>
        </w:rPr>
      </w:pPr>
    </w:p>
    <w:p w14:paraId="2C474338" w14:textId="44EA85D3" w:rsidR="003031BB" w:rsidRDefault="003031BB" w:rsidP="00271B9B">
      <w:pPr>
        <w:rPr>
          <w:rFonts w:ascii="Calibri" w:hAnsi="Calibri"/>
          <w:color w:val="000000" w:themeColor="text1"/>
        </w:rPr>
      </w:pPr>
    </w:p>
    <w:p w14:paraId="741CB841" w14:textId="0CD59632" w:rsidR="003031BB" w:rsidRDefault="003031BB" w:rsidP="00271B9B">
      <w:pPr>
        <w:rPr>
          <w:rFonts w:ascii="Calibri" w:hAnsi="Calibri"/>
          <w:color w:val="000000" w:themeColor="text1"/>
        </w:rPr>
      </w:pPr>
    </w:p>
    <w:p w14:paraId="78EFA3F3" w14:textId="77777777" w:rsidR="003031BB" w:rsidRDefault="003031BB" w:rsidP="00271B9B">
      <w:pPr>
        <w:rPr>
          <w:rFonts w:ascii="Calibri" w:hAnsi="Calibri"/>
          <w:color w:val="000000" w:themeColor="text1"/>
        </w:rPr>
      </w:pPr>
    </w:p>
    <w:tbl>
      <w:tblPr>
        <w:tblStyle w:val="GridTable4-Accent1"/>
        <w:tblW w:w="13045" w:type="dxa"/>
        <w:tblLook w:val="04A0" w:firstRow="1" w:lastRow="0" w:firstColumn="1" w:lastColumn="0" w:noHBand="0" w:noVBand="1"/>
      </w:tblPr>
      <w:tblGrid>
        <w:gridCol w:w="4675"/>
        <w:gridCol w:w="360"/>
        <w:gridCol w:w="4590"/>
        <w:gridCol w:w="3420"/>
      </w:tblGrid>
      <w:tr w:rsidR="00442BDB" w:rsidRPr="000604EE" w14:paraId="60369417" w14:textId="77777777" w:rsidTr="00271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5" w:type="dxa"/>
            <w:gridSpan w:val="4"/>
          </w:tcPr>
          <w:p w14:paraId="2B511244" w14:textId="6F1B0698"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CoC Supportive Services – Summary of Eligible Costs</w:t>
            </w:r>
          </w:p>
        </w:tc>
      </w:tr>
      <w:tr w:rsidR="00442BDB" w:rsidRPr="000604EE" w14:paraId="140DFC41" w14:textId="77777777" w:rsidTr="0027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gridSpan w:val="2"/>
            <w:shd w:val="clear" w:color="auto" w:fill="auto"/>
          </w:tcPr>
          <w:p w14:paraId="28DC2AF2"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Annual Assessment of</w:t>
            </w:r>
          </w:p>
          <w:p w14:paraId="216851AB"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Service Needs</w:t>
            </w:r>
          </w:p>
        </w:tc>
        <w:tc>
          <w:tcPr>
            <w:tcW w:w="4590" w:type="dxa"/>
            <w:shd w:val="clear" w:color="auto" w:fill="auto"/>
          </w:tcPr>
          <w:p w14:paraId="3A11D919" w14:textId="77777777" w:rsidR="000B73C4" w:rsidRPr="00A76818" w:rsidRDefault="000B73C4"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Assistance with Moving Costs</w:t>
            </w:r>
          </w:p>
        </w:tc>
        <w:tc>
          <w:tcPr>
            <w:tcW w:w="3420" w:type="dxa"/>
            <w:shd w:val="clear" w:color="auto" w:fill="auto"/>
          </w:tcPr>
          <w:p w14:paraId="59C274F7" w14:textId="77777777" w:rsidR="000B73C4" w:rsidRPr="00A76818" w:rsidRDefault="000B73C4"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Case Management</w:t>
            </w:r>
          </w:p>
        </w:tc>
      </w:tr>
      <w:tr w:rsidR="00442BDB" w:rsidRPr="000604EE" w14:paraId="22E6E698" w14:textId="77777777" w:rsidTr="00271B9B">
        <w:tc>
          <w:tcPr>
            <w:cnfStyle w:val="001000000000" w:firstRow="0" w:lastRow="0" w:firstColumn="1" w:lastColumn="0" w:oddVBand="0" w:evenVBand="0" w:oddHBand="0" w:evenHBand="0" w:firstRowFirstColumn="0" w:firstRowLastColumn="0" w:lastRowFirstColumn="0" w:lastRowLastColumn="0"/>
            <w:tcW w:w="5035" w:type="dxa"/>
            <w:gridSpan w:val="2"/>
            <w:shd w:val="clear" w:color="auto" w:fill="auto"/>
          </w:tcPr>
          <w:p w14:paraId="7792F8E4"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Employment Assistance &amp; Job Training</w:t>
            </w:r>
          </w:p>
        </w:tc>
        <w:tc>
          <w:tcPr>
            <w:tcW w:w="4590" w:type="dxa"/>
            <w:shd w:val="clear" w:color="auto" w:fill="auto"/>
          </w:tcPr>
          <w:p w14:paraId="5C633445" w14:textId="77777777" w:rsidR="000B73C4" w:rsidRPr="00A76818" w:rsidRDefault="000B73C4"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Food</w:t>
            </w:r>
          </w:p>
        </w:tc>
        <w:tc>
          <w:tcPr>
            <w:tcW w:w="3420" w:type="dxa"/>
            <w:shd w:val="clear" w:color="auto" w:fill="auto"/>
          </w:tcPr>
          <w:p w14:paraId="64D91534" w14:textId="77777777" w:rsidR="000B73C4" w:rsidRPr="00A76818" w:rsidRDefault="000B73C4"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Housing Search</w:t>
            </w:r>
          </w:p>
          <w:p w14:paraId="770F596F" w14:textId="77777777" w:rsidR="000B73C4" w:rsidRPr="00A76818" w:rsidRDefault="000B73C4"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&amp; Counseling Services</w:t>
            </w:r>
          </w:p>
        </w:tc>
      </w:tr>
      <w:tr w:rsidR="00442BDB" w:rsidRPr="000604EE" w14:paraId="1229E3BA" w14:textId="77777777" w:rsidTr="0027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gridSpan w:val="2"/>
            <w:shd w:val="clear" w:color="auto" w:fill="auto"/>
          </w:tcPr>
          <w:p w14:paraId="0F292505"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Mental Health Services</w:t>
            </w:r>
          </w:p>
        </w:tc>
        <w:tc>
          <w:tcPr>
            <w:tcW w:w="4590" w:type="dxa"/>
            <w:shd w:val="clear" w:color="auto" w:fill="auto"/>
          </w:tcPr>
          <w:p w14:paraId="387DF574" w14:textId="77777777" w:rsidR="000B73C4" w:rsidRPr="00A76818" w:rsidRDefault="000B73C4"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Outpatient Services</w:t>
            </w:r>
          </w:p>
        </w:tc>
        <w:tc>
          <w:tcPr>
            <w:tcW w:w="3420" w:type="dxa"/>
            <w:shd w:val="clear" w:color="auto" w:fill="auto"/>
          </w:tcPr>
          <w:p w14:paraId="533E254D" w14:textId="77777777" w:rsidR="000B73C4" w:rsidRPr="00A76818" w:rsidRDefault="000B73C4"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Outreach Services</w:t>
            </w:r>
          </w:p>
        </w:tc>
      </w:tr>
      <w:tr w:rsidR="00442BDB" w:rsidRPr="000604EE" w14:paraId="722226F0" w14:textId="77777777" w:rsidTr="00271B9B">
        <w:tc>
          <w:tcPr>
            <w:cnfStyle w:val="001000000000" w:firstRow="0" w:lastRow="0" w:firstColumn="1" w:lastColumn="0" w:oddVBand="0" w:evenVBand="0" w:oddHBand="0" w:evenHBand="0" w:firstRowFirstColumn="0" w:firstRowLastColumn="0" w:lastRowFirstColumn="0" w:lastRowLastColumn="0"/>
            <w:tcW w:w="5035" w:type="dxa"/>
            <w:gridSpan w:val="2"/>
            <w:shd w:val="clear" w:color="auto" w:fill="auto"/>
          </w:tcPr>
          <w:p w14:paraId="6C12077F"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Child Care</w:t>
            </w:r>
          </w:p>
        </w:tc>
        <w:tc>
          <w:tcPr>
            <w:tcW w:w="4590" w:type="dxa"/>
            <w:shd w:val="clear" w:color="auto" w:fill="auto"/>
          </w:tcPr>
          <w:p w14:paraId="0AB6846F" w14:textId="77777777" w:rsidR="000B73C4" w:rsidRPr="00A76818" w:rsidRDefault="000B73C4"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Education Services</w:t>
            </w:r>
          </w:p>
        </w:tc>
        <w:tc>
          <w:tcPr>
            <w:tcW w:w="3420" w:type="dxa"/>
            <w:shd w:val="clear" w:color="auto" w:fill="auto"/>
          </w:tcPr>
          <w:p w14:paraId="17033C04" w14:textId="77777777" w:rsidR="000B73C4" w:rsidRPr="00A76818" w:rsidRDefault="000B73C4"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Legal Services</w:t>
            </w:r>
          </w:p>
        </w:tc>
      </w:tr>
      <w:tr w:rsidR="00442BDB" w:rsidRPr="000604EE" w14:paraId="30B626E6" w14:textId="77777777" w:rsidTr="0027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gridSpan w:val="2"/>
            <w:shd w:val="clear" w:color="auto" w:fill="auto"/>
          </w:tcPr>
          <w:p w14:paraId="233CBBF3"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Life Skills Training</w:t>
            </w:r>
          </w:p>
        </w:tc>
        <w:tc>
          <w:tcPr>
            <w:tcW w:w="4590" w:type="dxa"/>
            <w:shd w:val="clear" w:color="auto" w:fill="auto"/>
          </w:tcPr>
          <w:p w14:paraId="6C032F5E" w14:textId="77777777" w:rsidR="000B73C4" w:rsidRPr="00A76818" w:rsidRDefault="000B73C4"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Substance Abuse Treatment Services</w:t>
            </w:r>
          </w:p>
        </w:tc>
        <w:tc>
          <w:tcPr>
            <w:tcW w:w="3420" w:type="dxa"/>
            <w:shd w:val="clear" w:color="auto" w:fill="auto"/>
          </w:tcPr>
          <w:p w14:paraId="513D1E09" w14:textId="77777777" w:rsidR="000B73C4" w:rsidRPr="00A76818" w:rsidRDefault="000B73C4"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Transportation</w:t>
            </w:r>
          </w:p>
        </w:tc>
      </w:tr>
      <w:tr w:rsidR="00442BDB" w:rsidRPr="000604EE" w14:paraId="6E473E74" w14:textId="77777777" w:rsidTr="00271B9B">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56FF010C" w14:textId="77777777" w:rsidR="000B73C4" w:rsidRPr="00A76818" w:rsidRDefault="000B73C4" w:rsidP="000604EE">
            <w:pPr>
              <w:autoSpaceDE w:val="0"/>
              <w:autoSpaceDN w:val="0"/>
              <w:adjustRightInd w:val="0"/>
              <w:contextualSpacing/>
              <w:rPr>
                <w:rFonts w:ascii="Calibri" w:hAnsi="Calibri" w:cs="Calibri"/>
                <w:b w:val="0"/>
                <w:bCs w:val="0"/>
                <w:color w:val="000000" w:themeColor="text1"/>
              </w:rPr>
            </w:pPr>
            <w:r w:rsidRPr="00A76818">
              <w:rPr>
                <w:rFonts w:ascii="Calibri" w:hAnsi="Calibri" w:cs="Calibri"/>
                <w:b w:val="0"/>
                <w:bCs w:val="0"/>
                <w:color w:val="000000" w:themeColor="text1"/>
              </w:rPr>
              <w:t>Utility Deposits</w:t>
            </w:r>
          </w:p>
        </w:tc>
        <w:tc>
          <w:tcPr>
            <w:tcW w:w="8370" w:type="dxa"/>
            <w:gridSpan w:val="3"/>
            <w:shd w:val="clear" w:color="auto" w:fill="auto"/>
          </w:tcPr>
          <w:p w14:paraId="0FD80BBE" w14:textId="77777777" w:rsidR="000B73C4" w:rsidRPr="00A76818" w:rsidRDefault="000B73C4"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A76818">
              <w:rPr>
                <w:rFonts w:ascii="Calibri" w:hAnsi="Calibri" w:cs="Calibri"/>
                <w:color w:val="000000" w:themeColor="text1"/>
              </w:rPr>
              <w:t>Direct Provision of Services</w:t>
            </w:r>
          </w:p>
        </w:tc>
      </w:tr>
    </w:tbl>
    <w:p w14:paraId="0AAD0979" w14:textId="77777777" w:rsidR="000B73C4" w:rsidRPr="00A76818" w:rsidRDefault="000B73C4" w:rsidP="000604EE">
      <w:pPr>
        <w:contextualSpacing/>
        <w:rPr>
          <w:rFonts w:ascii="Calibri" w:hAnsi="Calibri" w:cs="Calibri"/>
          <w:color w:val="000000" w:themeColor="text1"/>
        </w:rPr>
      </w:pPr>
    </w:p>
    <w:p w14:paraId="71F9C853" w14:textId="77777777" w:rsidR="00BC6C26" w:rsidRPr="00A76818" w:rsidRDefault="00BC6C26">
      <w:pPr>
        <w:pStyle w:val="Heading2"/>
        <w:numPr>
          <w:ilvl w:val="0"/>
          <w:numId w:val="25"/>
        </w:numPr>
        <w:spacing w:before="0" w:line="240" w:lineRule="auto"/>
        <w:contextualSpacing/>
        <w:rPr>
          <w:color w:val="000000" w:themeColor="text1"/>
        </w:rPr>
      </w:pPr>
      <w:bookmarkStart w:id="164" w:name="_Toc124255071"/>
      <w:r w:rsidRPr="0061434B">
        <w:rPr>
          <w:color w:val="0070C0"/>
        </w:rPr>
        <w:t>Duration of Assistance</w:t>
      </w:r>
      <w:bookmarkEnd w:id="164"/>
      <w:r w:rsidRPr="0061434B">
        <w:rPr>
          <w:color w:val="0070C0"/>
        </w:rPr>
        <w:t xml:space="preserve"> </w:t>
      </w:r>
    </w:p>
    <w:p w14:paraId="16871EA7" w14:textId="624BC800" w:rsidR="00BC6C26" w:rsidRPr="00A76818" w:rsidRDefault="00BC6C26">
      <w:pPr>
        <w:pStyle w:val="ListParagraph"/>
        <w:numPr>
          <w:ilvl w:val="0"/>
          <w:numId w:val="30"/>
        </w:numPr>
        <w:rPr>
          <w:rFonts w:ascii="Calibri" w:hAnsi="Calibri"/>
          <w:color w:val="000000" w:themeColor="text1"/>
        </w:rPr>
      </w:pPr>
      <w:r w:rsidRPr="00A76818">
        <w:rPr>
          <w:rFonts w:ascii="Calibri" w:hAnsi="Calibri"/>
          <w:color w:val="000000" w:themeColor="text1"/>
        </w:rPr>
        <w:t xml:space="preserve">There is no designated length of stay for </w:t>
      </w:r>
      <w:r w:rsidR="00CA721A" w:rsidRPr="00A76818">
        <w:rPr>
          <w:rFonts w:ascii="Calibri" w:hAnsi="Calibri"/>
          <w:color w:val="000000" w:themeColor="text1"/>
        </w:rPr>
        <w:t>household</w:t>
      </w:r>
      <w:r w:rsidRPr="00A76818">
        <w:rPr>
          <w:rFonts w:ascii="Calibri" w:hAnsi="Calibri"/>
          <w:color w:val="000000" w:themeColor="text1"/>
        </w:rPr>
        <w:t xml:space="preserve">s of this type of housing. </w:t>
      </w:r>
      <w:r w:rsidR="00CA721A" w:rsidRPr="00A76818">
        <w:rPr>
          <w:rFonts w:ascii="Calibri" w:hAnsi="Calibri"/>
          <w:color w:val="000000" w:themeColor="text1"/>
        </w:rPr>
        <w:t xml:space="preserve">permanent supportive housing </w:t>
      </w:r>
      <w:r w:rsidRPr="00A76818">
        <w:rPr>
          <w:rFonts w:ascii="Calibri" w:hAnsi="Calibri"/>
          <w:color w:val="000000" w:themeColor="text1"/>
        </w:rPr>
        <w:t xml:space="preserve">is intended to be available to </w:t>
      </w:r>
      <w:r w:rsidR="00CA721A" w:rsidRPr="00A76818">
        <w:rPr>
          <w:rFonts w:ascii="Calibri" w:hAnsi="Calibri"/>
          <w:color w:val="000000" w:themeColor="text1"/>
        </w:rPr>
        <w:t>households</w:t>
      </w:r>
      <w:r w:rsidRPr="00A76818">
        <w:rPr>
          <w:rFonts w:ascii="Calibri" w:hAnsi="Calibri"/>
          <w:color w:val="000000" w:themeColor="text1"/>
        </w:rPr>
        <w:t xml:space="preserve"> for as long as it provides housing assistance that meets their needs. </w:t>
      </w:r>
    </w:p>
    <w:p w14:paraId="12029431" w14:textId="1AB7C540" w:rsidR="0072074F" w:rsidRPr="00A76818" w:rsidRDefault="00BC6C26">
      <w:pPr>
        <w:pStyle w:val="ListParagraph"/>
        <w:numPr>
          <w:ilvl w:val="0"/>
          <w:numId w:val="30"/>
        </w:numPr>
        <w:rPr>
          <w:rFonts w:ascii="Calibri" w:hAnsi="Calibri"/>
          <w:color w:val="000000" w:themeColor="text1"/>
        </w:rPr>
      </w:pPr>
      <w:r w:rsidRPr="00A76818">
        <w:rPr>
          <w:rFonts w:ascii="Calibri" w:hAnsi="Calibri"/>
          <w:color w:val="000000" w:themeColor="text1"/>
        </w:rPr>
        <w:t xml:space="preserve">Successful exits from </w:t>
      </w:r>
      <w:r w:rsidR="00CA721A" w:rsidRPr="00A76818">
        <w:rPr>
          <w:rFonts w:ascii="Calibri" w:hAnsi="Calibri"/>
          <w:color w:val="000000" w:themeColor="text1"/>
        </w:rPr>
        <w:t>p</w:t>
      </w:r>
      <w:r w:rsidRPr="00A76818">
        <w:rPr>
          <w:rFonts w:ascii="Calibri" w:hAnsi="Calibri"/>
          <w:color w:val="000000" w:themeColor="text1"/>
        </w:rPr>
        <w:t xml:space="preserve">ermanent </w:t>
      </w:r>
      <w:r w:rsidR="00CA721A" w:rsidRPr="00A76818">
        <w:rPr>
          <w:rFonts w:ascii="Calibri" w:hAnsi="Calibri"/>
          <w:color w:val="000000" w:themeColor="text1"/>
        </w:rPr>
        <w:t>s</w:t>
      </w:r>
      <w:r w:rsidRPr="00A76818">
        <w:rPr>
          <w:rFonts w:ascii="Calibri" w:hAnsi="Calibri"/>
          <w:color w:val="000000" w:themeColor="text1"/>
        </w:rPr>
        <w:t xml:space="preserve">upportive </w:t>
      </w:r>
      <w:r w:rsidR="00CA721A" w:rsidRPr="00A76818">
        <w:rPr>
          <w:rFonts w:ascii="Calibri" w:hAnsi="Calibri"/>
          <w:color w:val="000000" w:themeColor="text1"/>
        </w:rPr>
        <w:t>h</w:t>
      </w:r>
      <w:r w:rsidRPr="00A76818">
        <w:rPr>
          <w:rFonts w:ascii="Calibri" w:hAnsi="Calibri"/>
          <w:color w:val="000000" w:themeColor="text1"/>
        </w:rPr>
        <w:t>ousing include exits to other permanent housing destinations.</w:t>
      </w:r>
    </w:p>
    <w:p w14:paraId="5CD837F1" w14:textId="7C58CB2B" w:rsidR="0072074F" w:rsidRPr="00A76818" w:rsidRDefault="0072074F">
      <w:pPr>
        <w:pStyle w:val="ListParagraph"/>
        <w:numPr>
          <w:ilvl w:val="0"/>
          <w:numId w:val="30"/>
        </w:numPr>
        <w:rPr>
          <w:rFonts w:ascii="Calibri" w:hAnsi="Calibri"/>
          <w:color w:val="000000" w:themeColor="text1"/>
        </w:rPr>
      </w:pPr>
      <w:r w:rsidRPr="00A76818">
        <w:rPr>
          <w:rFonts w:ascii="Calibri" w:hAnsi="Calibri"/>
          <w:color w:val="000000" w:themeColor="text1"/>
          <w:shd w:val="clear" w:color="auto" w:fill="FFFFFF"/>
        </w:rPr>
        <w:lastRenderedPageBreak/>
        <w:t xml:space="preserve">Permanent housing providers </w:t>
      </w:r>
      <w:r w:rsidR="00CA721A" w:rsidRPr="00A76818">
        <w:rPr>
          <w:rFonts w:ascii="Calibri" w:hAnsi="Calibri"/>
          <w:color w:val="000000" w:themeColor="text1"/>
          <w:shd w:val="clear" w:color="auto" w:fill="FFFFFF"/>
        </w:rPr>
        <w:t xml:space="preserve">may </w:t>
      </w:r>
      <w:r w:rsidRPr="00A76818">
        <w:rPr>
          <w:rFonts w:ascii="Calibri" w:hAnsi="Calibri"/>
          <w:color w:val="000000" w:themeColor="text1"/>
          <w:shd w:val="clear" w:color="auto" w:fill="FFFFFF"/>
        </w:rPr>
        <w:t xml:space="preserve">only terminate </w:t>
      </w:r>
      <w:r w:rsidR="00CA721A" w:rsidRPr="00A76818">
        <w:rPr>
          <w:rFonts w:ascii="Calibri" w:hAnsi="Calibri"/>
          <w:color w:val="000000" w:themeColor="text1"/>
          <w:shd w:val="clear" w:color="auto" w:fill="FFFFFF"/>
        </w:rPr>
        <w:t xml:space="preserve">households </w:t>
      </w:r>
      <w:r w:rsidRPr="00A76818">
        <w:rPr>
          <w:rFonts w:ascii="Calibri" w:hAnsi="Calibri"/>
          <w:color w:val="000000" w:themeColor="text1"/>
          <w:shd w:val="clear" w:color="auto" w:fill="FFFFFF"/>
        </w:rPr>
        <w:t xml:space="preserve">from housing in cases of noncompliance with the lease or when otherwise legally necessary. </w:t>
      </w:r>
      <w:r w:rsidR="00CA721A" w:rsidRPr="00A76818">
        <w:rPr>
          <w:rFonts w:ascii="Calibri" w:hAnsi="Calibri"/>
          <w:color w:val="000000" w:themeColor="text1"/>
          <w:shd w:val="clear" w:color="auto" w:fill="FFFFFF"/>
        </w:rPr>
        <w:t>Service p</w:t>
      </w:r>
      <w:r w:rsidRPr="00A76818">
        <w:rPr>
          <w:rFonts w:ascii="Calibri" w:hAnsi="Calibri"/>
          <w:color w:val="000000" w:themeColor="text1"/>
          <w:shd w:val="clear" w:color="auto" w:fill="FFFFFF"/>
        </w:rPr>
        <w:t xml:space="preserve">roviders </w:t>
      </w:r>
      <w:r w:rsidR="00CA721A" w:rsidRPr="00A76818">
        <w:rPr>
          <w:rFonts w:ascii="Calibri" w:hAnsi="Calibri"/>
          <w:color w:val="000000" w:themeColor="text1"/>
          <w:shd w:val="clear" w:color="auto" w:fill="FFFFFF"/>
        </w:rPr>
        <w:t xml:space="preserve">must </w:t>
      </w:r>
      <w:r w:rsidRPr="00A76818">
        <w:rPr>
          <w:rFonts w:ascii="Calibri" w:hAnsi="Calibri"/>
          <w:color w:val="000000" w:themeColor="text1"/>
          <w:shd w:val="clear" w:color="auto" w:fill="FFFFFF"/>
        </w:rPr>
        <w:t>take all reasonable measures to keep the</w:t>
      </w:r>
      <w:r w:rsidR="00CA721A" w:rsidRPr="00A76818">
        <w:rPr>
          <w:rFonts w:ascii="Calibri" w:hAnsi="Calibri"/>
          <w:color w:val="000000" w:themeColor="text1"/>
          <w:shd w:val="clear" w:color="auto" w:fill="FFFFFF"/>
        </w:rPr>
        <w:t xml:space="preserve"> households</w:t>
      </w:r>
      <w:r w:rsidRPr="00A76818">
        <w:rPr>
          <w:rFonts w:ascii="Calibri" w:hAnsi="Calibri"/>
          <w:color w:val="000000" w:themeColor="text1"/>
          <w:shd w:val="clear" w:color="auto" w:fill="FFFFFF"/>
        </w:rPr>
        <w:t xml:space="preserve"> in the program and re-house them elsewhere</w:t>
      </w:r>
      <w:r w:rsidR="000C7D2E" w:rsidRPr="00A76818">
        <w:rPr>
          <w:rFonts w:ascii="Calibri" w:hAnsi="Calibri"/>
          <w:color w:val="000000" w:themeColor="text1"/>
          <w:shd w:val="clear" w:color="auto" w:fill="FFFFFF"/>
        </w:rPr>
        <w:t xml:space="preserve">. </w:t>
      </w:r>
    </w:p>
    <w:p w14:paraId="4882F70B" w14:textId="08CB2B69" w:rsidR="00615F2C" w:rsidRPr="00A76818" w:rsidRDefault="00CA721A">
      <w:pPr>
        <w:pStyle w:val="ListParagraph"/>
        <w:numPr>
          <w:ilvl w:val="0"/>
          <w:numId w:val="31"/>
        </w:numPr>
        <w:rPr>
          <w:rFonts w:ascii="Calibri" w:hAnsi="Calibri"/>
          <w:color w:val="000000" w:themeColor="text1"/>
        </w:rPr>
      </w:pPr>
      <w:r w:rsidRPr="00A76818">
        <w:rPr>
          <w:rFonts w:ascii="Calibri" w:hAnsi="Calibri"/>
          <w:color w:val="000000" w:themeColor="text1"/>
          <w:shd w:val="clear" w:color="auto" w:fill="FFFFFF"/>
        </w:rPr>
        <w:t xml:space="preserve">Households </w:t>
      </w:r>
      <w:r w:rsidR="0072074F" w:rsidRPr="00A76818">
        <w:rPr>
          <w:rFonts w:ascii="Calibri" w:hAnsi="Calibri"/>
          <w:color w:val="000000" w:themeColor="text1"/>
          <w:shd w:val="clear" w:color="auto" w:fill="FFFFFF"/>
        </w:rPr>
        <w:t>cannot be terminated involuntarily for refusal of services or for violation of program rules that are not stipulated in the lease.</w:t>
      </w:r>
    </w:p>
    <w:p w14:paraId="4B970658" w14:textId="543D58B2" w:rsidR="00615F2C" w:rsidRPr="00A76818" w:rsidRDefault="00615F2C">
      <w:pPr>
        <w:pStyle w:val="ListParagraph"/>
        <w:numPr>
          <w:ilvl w:val="0"/>
          <w:numId w:val="31"/>
        </w:numPr>
        <w:rPr>
          <w:rFonts w:ascii="Calibri" w:hAnsi="Calibri"/>
          <w:color w:val="000000" w:themeColor="text1"/>
        </w:rPr>
      </w:pPr>
      <w:r w:rsidRPr="00A76818">
        <w:rPr>
          <w:rFonts w:ascii="Calibri" w:hAnsi="Calibri"/>
          <w:color w:val="000000" w:themeColor="text1"/>
          <w:shd w:val="clear" w:color="auto" w:fill="FFFFFF"/>
        </w:rPr>
        <w:t xml:space="preserve">Please see “Standards for Termination of Assistance and Grievance Procedure” </w:t>
      </w:r>
      <w:r w:rsidR="000C7D2E" w:rsidRPr="00A76818">
        <w:rPr>
          <w:rFonts w:ascii="Calibri" w:hAnsi="Calibri"/>
          <w:color w:val="000000" w:themeColor="text1"/>
          <w:shd w:val="clear" w:color="auto" w:fill="FFFFFF"/>
        </w:rPr>
        <w:t>(</w:t>
      </w:r>
      <w:r w:rsidR="00E72448">
        <w:rPr>
          <w:rFonts w:ascii="Calibri" w:hAnsi="Calibri"/>
          <w:color w:val="000000" w:themeColor="text1"/>
          <w:shd w:val="clear" w:color="auto" w:fill="FFFFFF"/>
        </w:rPr>
        <w:t>pg</w:t>
      </w:r>
      <w:r w:rsidRPr="00A76818">
        <w:rPr>
          <w:rFonts w:ascii="Calibri" w:hAnsi="Calibri"/>
          <w:color w:val="000000" w:themeColor="text1"/>
          <w:shd w:val="clear" w:color="auto" w:fill="FFFFFF"/>
        </w:rPr>
        <w:t>.</w:t>
      </w:r>
      <w:r w:rsidR="00BF3A53" w:rsidRPr="00A76818">
        <w:rPr>
          <w:rFonts w:ascii="Calibri" w:hAnsi="Calibri"/>
          <w:color w:val="000000" w:themeColor="text1"/>
          <w:shd w:val="clear" w:color="auto" w:fill="FFFFFF"/>
        </w:rPr>
        <w:t xml:space="preserve"> </w:t>
      </w:r>
      <w:r w:rsidR="00E72448">
        <w:rPr>
          <w:rFonts w:ascii="Calibri" w:hAnsi="Calibri"/>
          <w:color w:val="000000" w:themeColor="text1"/>
          <w:shd w:val="clear" w:color="auto" w:fill="FFFFFF"/>
        </w:rPr>
        <w:t>13-14</w:t>
      </w:r>
      <w:r w:rsidR="000C7D2E" w:rsidRPr="00A76818">
        <w:rPr>
          <w:rFonts w:ascii="Calibri" w:hAnsi="Calibri"/>
          <w:color w:val="000000" w:themeColor="text1"/>
          <w:shd w:val="clear" w:color="auto" w:fill="FFFFFF"/>
        </w:rPr>
        <w:t>)</w:t>
      </w:r>
      <w:r w:rsidRPr="00A76818">
        <w:rPr>
          <w:rFonts w:ascii="Calibri" w:hAnsi="Calibri"/>
          <w:color w:val="000000" w:themeColor="text1"/>
          <w:shd w:val="clear" w:color="auto" w:fill="FFFFFF"/>
        </w:rPr>
        <w:t xml:space="preserve"> for more information. </w:t>
      </w:r>
    </w:p>
    <w:p w14:paraId="3EACF49F" w14:textId="77777777" w:rsidR="00615F2C" w:rsidRPr="00A76818" w:rsidRDefault="00615F2C" w:rsidP="000604EE">
      <w:pPr>
        <w:contextualSpacing/>
        <w:rPr>
          <w:rFonts w:ascii="Calibri" w:hAnsi="Calibri" w:cs="Calibri"/>
          <w:color w:val="000000" w:themeColor="text1"/>
        </w:rPr>
      </w:pPr>
    </w:p>
    <w:p w14:paraId="54726330" w14:textId="77777777" w:rsidR="00483991" w:rsidRPr="00A76818" w:rsidRDefault="00483991" w:rsidP="000604EE">
      <w:pPr>
        <w:contextualSpacing/>
        <w:rPr>
          <w:rFonts w:ascii="Calibri" w:hAnsi="Calibri" w:cs="Calibri"/>
          <w:color w:val="000000" w:themeColor="text1"/>
        </w:rPr>
      </w:pPr>
    </w:p>
    <w:p w14:paraId="0C57C7E5" w14:textId="77777777" w:rsidR="00483991" w:rsidRPr="00A76818" w:rsidRDefault="00483991" w:rsidP="000604EE">
      <w:pPr>
        <w:contextualSpacing/>
        <w:rPr>
          <w:rFonts w:ascii="Calibri" w:hAnsi="Calibri" w:cs="Calibri"/>
          <w:color w:val="000000" w:themeColor="text1"/>
        </w:rPr>
      </w:pPr>
    </w:p>
    <w:p w14:paraId="6E559D08" w14:textId="77777777" w:rsidR="00483991" w:rsidRPr="00A76818" w:rsidRDefault="00483991" w:rsidP="000604EE">
      <w:pPr>
        <w:contextualSpacing/>
        <w:rPr>
          <w:rFonts w:ascii="Calibri" w:hAnsi="Calibri" w:cs="Calibri"/>
          <w:color w:val="000000" w:themeColor="text1"/>
        </w:rPr>
      </w:pPr>
    </w:p>
    <w:p w14:paraId="08B3832A" w14:textId="090FA227" w:rsidR="00D47164" w:rsidRDefault="00D47164">
      <w:pPr>
        <w:spacing w:after="200" w:line="276" w:lineRule="auto"/>
        <w:rPr>
          <w:rFonts w:ascii="Calibri" w:hAnsi="Calibri" w:cs="Calibri"/>
          <w:color w:val="000000" w:themeColor="text1"/>
        </w:rPr>
      </w:pPr>
      <w:r>
        <w:rPr>
          <w:rFonts w:ascii="Calibri" w:hAnsi="Calibri" w:cs="Calibri"/>
          <w:color w:val="000000" w:themeColor="text1"/>
        </w:rPr>
        <w:br w:type="page"/>
      </w:r>
    </w:p>
    <w:p w14:paraId="51D7436F" w14:textId="74FF9608" w:rsidR="00D47164" w:rsidRPr="0061434B" w:rsidRDefault="00D47164" w:rsidP="00D47164">
      <w:pPr>
        <w:pStyle w:val="Heading1"/>
        <w:rPr>
          <w:b/>
          <w:bCs/>
          <w:color w:val="0070C0"/>
        </w:rPr>
      </w:pPr>
      <w:bookmarkStart w:id="165" w:name="_Toc124255072"/>
      <w:r w:rsidRPr="0061434B">
        <w:rPr>
          <w:b/>
          <w:bCs/>
          <w:color w:val="0070C0"/>
        </w:rPr>
        <w:lastRenderedPageBreak/>
        <w:t>Standards for Street Outreach</w:t>
      </w:r>
      <w:bookmarkEnd w:id="165"/>
      <w:r w:rsidRPr="0061434B">
        <w:rPr>
          <w:b/>
          <w:bCs/>
          <w:color w:val="0070C0"/>
        </w:rPr>
        <w:t xml:space="preserve"> </w:t>
      </w:r>
    </w:p>
    <w:p w14:paraId="4A42E5BF" w14:textId="77777777" w:rsidR="00D47164" w:rsidRPr="00A76818" w:rsidRDefault="00D47164">
      <w:pPr>
        <w:pStyle w:val="Heading2"/>
        <w:numPr>
          <w:ilvl w:val="0"/>
          <w:numId w:val="72"/>
        </w:numPr>
        <w:spacing w:before="0" w:line="240" w:lineRule="auto"/>
        <w:contextualSpacing/>
        <w:rPr>
          <w:color w:val="000000" w:themeColor="text1"/>
        </w:rPr>
      </w:pPr>
      <w:bookmarkStart w:id="166" w:name="_Toc124255073"/>
      <w:r w:rsidRPr="0061434B">
        <w:rPr>
          <w:color w:val="0070C0"/>
        </w:rPr>
        <w:t>Introduction</w:t>
      </w:r>
      <w:bookmarkEnd w:id="166"/>
      <w:r w:rsidRPr="00A76818">
        <w:rPr>
          <w:color w:val="000000" w:themeColor="text1"/>
        </w:rPr>
        <w:t xml:space="preserve"> </w:t>
      </w:r>
    </w:p>
    <w:p w14:paraId="6D950686" w14:textId="68E8466E" w:rsidR="00D47164" w:rsidRPr="00D47164" w:rsidRDefault="00D47164">
      <w:pPr>
        <w:pStyle w:val="ListParagraph"/>
        <w:numPr>
          <w:ilvl w:val="0"/>
          <w:numId w:val="73"/>
        </w:numPr>
        <w:rPr>
          <w:rFonts w:ascii="Calibri" w:hAnsi="Calibri"/>
          <w:color w:val="000000" w:themeColor="text1"/>
        </w:rPr>
      </w:pPr>
      <w:r w:rsidRPr="00D47164">
        <w:rPr>
          <w:rFonts w:ascii="Calibri" w:hAnsi="Calibri" w:cs="Calibri"/>
          <w:i/>
          <w:iCs/>
          <w:color w:val="000000" w:themeColor="text1"/>
        </w:rPr>
        <w:t>Currently, the CSCoC currently does not fund street outreach. The Written Standards for Street Outreach are included to guide the development of future programs</w:t>
      </w:r>
      <w:r w:rsidRPr="00D47164">
        <w:rPr>
          <w:rFonts w:ascii="Calibri" w:hAnsi="Calibri"/>
          <w:color w:val="000000" w:themeColor="text1"/>
        </w:rPr>
        <w:t xml:space="preserve"> </w:t>
      </w:r>
    </w:p>
    <w:p w14:paraId="0374A3DC" w14:textId="0FDEB366" w:rsidR="00D47164" w:rsidRPr="00D47164" w:rsidRDefault="00D47164">
      <w:pPr>
        <w:pStyle w:val="ListParagraph"/>
        <w:numPr>
          <w:ilvl w:val="0"/>
          <w:numId w:val="73"/>
        </w:numPr>
        <w:rPr>
          <w:rFonts w:ascii="Calibri" w:hAnsi="Calibri"/>
          <w:color w:val="000000" w:themeColor="text1"/>
        </w:rPr>
      </w:pPr>
      <w:r w:rsidRPr="00D47164">
        <w:rPr>
          <w:rFonts w:ascii="Calibri" w:hAnsi="Calibri"/>
          <w:color w:val="000000" w:themeColor="text1"/>
        </w:rPr>
        <w:t>The primary goals of street outreach:</w:t>
      </w:r>
    </w:p>
    <w:p w14:paraId="093571E6" w14:textId="2219888D" w:rsidR="00D47164" w:rsidRPr="00D47164" w:rsidRDefault="00D47164">
      <w:pPr>
        <w:pStyle w:val="ListParagraph"/>
        <w:numPr>
          <w:ilvl w:val="2"/>
          <w:numId w:val="73"/>
        </w:numPr>
        <w:rPr>
          <w:rFonts w:ascii="Calibri" w:hAnsi="Calibri"/>
          <w:color w:val="000000" w:themeColor="text1"/>
        </w:rPr>
      </w:pPr>
      <w:r w:rsidRPr="00D47164">
        <w:rPr>
          <w:rFonts w:ascii="Calibri" w:hAnsi="Calibri"/>
          <w:color w:val="000000" w:themeColor="text1"/>
        </w:rPr>
        <w:t>Provide access to emergency shelter and services; and</w:t>
      </w:r>
    </w:p>
    <w:p w14:paraId="48984EE8" w14:textId="757A77DA" w:rsidR="00D47164" w:rsidRPr="00D47164" w:rsidRDefault="00D47164">
      <w:pPr>
        <w:pStyle w:val="ListParagraph"/>
        <w:numPr>
          <w:ilvl w:val="2"/>
          <w:numId w:val="73"/>
        </w:numPr>
        <w:rPr>
          <w:rFonts w:ascii="Calibri" w:hAnsi="Calibri"/>
          <w:color w:val="000000" w:themeColor="text1"/>
        </w:rPr>
      </w:pPr>
      <w:r w:rsidRPr="00D47164">
        <w:rPr>
          <w:rFonts w:ascii="Calibri" w:hAnsi="Calibri"/>
          <w:color w:val="000000" w:themeColor="text1"/>
        </w:rPr>
        <w:t>Re-house households in permanent housing as quickly as possible, regardless of other personal issues or concerns.</w:t>
      </w:r>
    </w:p>
    <w:p w14:paraId="33FFDDB5" w14:textId="77777777" w:rsidR="00D47164" w:rsidRPr="00D47164" w:rsidRDefault="00D47164" w:rsidP="00D47164">
      <w:pPr>
        <w:contextualSpacing/>
        <w:rPr>
          <w:rFonts w:ascii="Calibri" w:hAnsi="Calibri" w:cs="Calibri"/>
          <w:color w:val="000000" w:themeColor="text1"/>
        </w:rPr>
      </w:pPr>
    </w:p>
    <w:p w14:paraId="79E93D7F" w14:textId="77777777" w:rsidR="00D47164" w:rsidRPr="0061434B" w:rsidRDefault="00D47164">
      <w:pPr>
        <w:pStyle w:val="Heading2"/>
        <w:numPr>
          <w:ilvl w:val="0"/>
          <w:numId w:val="72"/>
        </w:numPr>
        <w:spacing w:before="0" w:line="240" w:lineRule="auto"/>
        <w:contextualSpacing/>
        <w:rPr>
          <w:color w:val="0070C0"/>
        </w:rPr>
      </w:pPr>
      <w:bookmarkStart w:id="167" w:name="_Toc124255074"/>
      <w:r w:rsidRPr="0061434B">
        <w:rPr>
          <w:color w:val="0070C0"/>
        </w:rPr>
        <w:t>Eligibility</w:t>
      </w:r>
      <w:bookmarkEnd w:id="167"/>
      <w:r w:rsidRPr="0061434B">
        <w:rPr>
          <w:color w:val="0070C0"/>
        </w:rPr>
        <w:t xml:space="preserve"> </w:t>
      </w:r>
    </w:p>
    <w:p w14:paraId="03E91BB0" w14:textId="7C3A2FFC" w:rsidR="00D47164" w:rsidRPr="00D47164" w:rsidRDefault="00D47164">
      <w:pPr>
        <w:pStyle w:val="ListParagraph"/>
        <w:numPr>
          <w:ilvl w:val="0"/>
          <w:numId w:val="74"/>
        </w:numPr>
        <w:rPr>
          <w:rFonts w:ascii="Calibri" w:hAnsi="Calibri"/>
          <w:color w:val="000000" w:themeColor="text1"/>
        </w:rPr>
      </w:pPr>
      <w:r w:rsidRPr="00D47164">
        <w:rPr>
          <w:rFonts w:ascii="Calibri" w:hAnsi="Calibri"/>
          <w:color w:val="000000" w:themeColor="text1"/>
        </w:rPr>
        <w:t>At a minimum, households must be experiencing unsheltered homelessness.</w:t>
      </w:r>
    </w:p>
    <w:p w14:paraId="20D7EDCE" w14:textId="75327E64" w:rsidR="00D47164" w:rsidRPr="00D47164" w:rsidRDefault="00D47164">
      <w:pPr>
        <w:pStyle w:val="ListParagraph"/>
        <w:numPr>
          <w:ilvl w:val="2"/>
          <w:numId w:val="74"/>
        </w:numPr>
        <w:rPr>
          <w:rFonts w:ascii="Calibri" w:hAnsi="Calibri"/>
          <w:color w:val="000000" w:themeColor="text1"/>
        </w:rPr>
      </w:pPr>
      <w:r w:rsidRPr="00D47164">
        <w:rPr>
          <w:rFonts w:ascii="Calibri" w:hAnsi="Calibri"/>
          <w:color w:val="000000" w:themeColor="text1"/>
        </w:rPr>
        <w:t xml:space="preserve">See Appendix E: HUD Definitions of Homelessness (pg. 46) for more information about this definitions. </w:t>
      </w:r>
    </w:p>
    <w:p w14:paraId="16CABA86" w14:textId="17CCFCB2" w:rsidR="00D47164" w:rsidRPr="00D47164" w:rsidRDefault="00D47164">
      <w:pPr>
        <w:pStyle w:val="ListParagraph"/>
        <w:numPr>
          <w:ilvl w:val="2"/>
          <w:numId w:val="74"/>
        </w:numPr>
        <w:rPr>
          <w:rFonts w:ascii="Calibri" w:hAnsi="Calibri"/>
          <w:color w:val="000000" w:themeColor="text1"/>
        </w:rPr>
      </w:pPr>
      <w:r w:rsidRPr="00D47164">
        <w:rPr>
          <w:rFonts w:ascii="Calibri" w:hAnsi="Calibri"/>
          <w:color w:val="000000" w:themeColor="text1"/>
        </w:rPr>
        <w:t xml:space="preserve">Please see Appendix F: HUD Record Keeping Requirement (pg. 47) for more information on how to properly document eligibility for street outreach programs. </w:t>
      </w:r>
    </w:p>
    <w:p w14:paraId="7A62737A" w14:textId="77777777" w:rsidR="00D47164" w:rsidRPr="00D47164" w:rsidRDefault="00D47164" w:rsidP="00D47164">
      <w:pPr>
        <w:pStyle w:val="ListParagraph"/>
        <w:ind w:left="1440"/>
        <w:rPr>
          <w:rFonts w:ascii="Calibri" w:hAnsi="Calibri"/>
          <w:color w:val="000000" w:themeColor="text1"/>
          <w:sz w:val="20"/>
          <w:szCs w:val="21"/>
        </w:rPr>
      </w:pPr>
    </w:p>
    <w:p w14:paraId="2DF5167E" w14:textId="77777777" w:rsidR="00D47164" w:rsidRPr="0061434B" w:rsidRDefault="00D47164">
      <w:pPr>
        <w:pStyle w:val="Heading2"/>
        <w:numPr>
          <w:ilvl w:val="0"/>
          <w:numId w:val="72"/>
        </w:numPr>
        <w:spacing w:before="0" w:line="240" w:lineRule="auto"/>
        <w:contextualSpacing/>
        <w:rPr>
          <w:color w:val="0070C0"/>
        </w:rPr>
      </w:pPr>
      <w:bookmarkStart w:id="168" w:name="_Toc124255075"/>
      <w:r w:rsidRPr="0061434B">
        <w:rPr>
          <w:color w:val="0070C0"/>
        </w:rPr>
        <w:t>Prioritization</w:t>
      </w:r>
      <w:bookmarkEnd w:id="168"/>
      <w:r w:rsidRPr="0061434B">
        <w:rPr>
          <w:color w:val="0070C0"/>
        </w:rPr>
        <w:t xml:space="preserve"> </w:t>
      </w:r>
    </w:p>
    <w:p w14:paraId="2E6CAD53" w14:textId="56D2BD17" w:rsidR="00D47164" w:rsidRPr="00D47164" w:rsidRDefault="00D47164">
      <w:pPr>
        <w:pStyle w:val="ListParagraph"/>
        <w:numPr>
          <w:ilvl w:val="0"/>
          <w:numId w:val="75"/>
        </w:numPr>
        <w:rPr>
          <w:rFonts w:ascii="Calibri" w:hAnsi="Calibri"/>
          <w:color w:val="000000" w:themeColor="text1"/>
        </w:rPr>
      </w:pPr>
      <w:r w:rsidRPr="00D47164">
        <w:rPr>
          <w:rFonts w:ascii="Calibri" w:hAnsi="Calibri" w:cs="Calibri"/>
          <w:color w:val="000000" w:themeColor="text1"/>
        </w:rPr>
        <w:t xml:space="preserve">Program admission is prioritized for the households with the most urgent and severe needs (as defined in 25 CCR </w:t>
      </w:r>
      <w:r w:rsidRPr="00D47164">
        <w:rPr>
          <w:rStyle w:val="Strong"/>
          <w:rFonts w:ascii="Calibri" w:hAnsi="Calibri" w:cs="Calibri"/>
          <w:b w:val="0"/>
          <w:bCs w:val="0"/>
          <w:color w:val="000000" w:themeColor="text1"/>
          <w:shd w:val="clear" w:color="auto" w:fill="FFFFFF"/>
        </w:rPr>
        <w:t xml:space="preserve">§ </w:t>
      </w:r>
      <w:r w:rsidRPr="00D47164">
        <w:rPr>
          <w:rFonts w:ascii="Calibri" w:hAnsi="Calibri" w:cs="Calibri"/>
          <w:color w:val="000000" w:themeColor="text1"/>
        </w:rPr>
        <w:t xml:space="preserve">8409). </w:t>
      </w:r>
    </w:p>
    <w:p w14:paraId="38254BA1" w14:textId="77777777" w:rsidR="00D47164" w:rsidRPr="00D47164" w:rsidRDefault="00D47164" w:rsidP="00D47164">
      <w:pPr>
        <w:pStyle w:val="ListParagraph"/>
        <w:ind w:left="1440"/>
        <w:rPr>
          <w:rFonts w:ascii="Calibri" w:hAnsi="Calibri"/>
          <w:color w:val="000000" w:themeColor="text1"/>
          <w:sz w:val="20"/>
          <w:szCs w:val="21"/>
        </w:rPr>
      </w:pPr>
    </w:p>
    <w:p w14:paraId="09D32613" w14:textId="74ED6A9C" w:rsidR="00D47164" w:rsidRPr="0061434B" w:rsidRDefault="00D47164">
      <w:pPr>
        <w:pStyle w:val="Heading2"/>
        <w:numPr>
          <w:ilvl w:val="0"/>
          <w:numId w:val="72"/>
        </w:numPr>
        <w:spacing w:before="0" w:line="240" w:lineRule="auto"/>
        <w:contextualSpacing/>
        <w:rPr>
          <w:color w:val="0070C0"/>
        </w:rPr>
      </w:pPr>
      <w:bookmarkStart w:id="169" w:name="_Toc124255076"/>
      <w:r w:rsidRPr="0061434B">
        <w:rPr>
          <w:color w:val="0070C0"/>
        </w:rPr>
        <w:t>Outreach Requirements</w:t>
      </w:r>
      <w:bookmarkEnd w:id="169"/>
    </w:p>
    <w:p w14:paraId="04685E6E" w14:textId="677D8534" w:rsidR="00D47164" w:rsidRPr="00D47164" w:rsidRDefault="00D47164">
      <w:pPr>
        <w:pStyle w:val="ListParagraph"/>
        <w:numPr>
          <w:ilvl w:val="0"/>
          <w:numId w:val="76"/>
        </w:numPr>
        <w:rPr>
          <w:rStyle w:val="Strong"/>
          <w:rFonts w:ascii="Calibri" w:hAnsi="Calibri"/>
          <w:b w:val="0"/>
          <w:bCs w:val="0"/>
          <w:color w:val="000000" w:themeColor="text1"/>
        </w:rPr>
      </w:pPr>
      <w:r w:rsidRPr="00D47164">
        <w:rPr>
          <w:rStyle w:val="Strong"/>
          <w:rFonts w:ascii="Calibri" w:hAnsi="Calibri" w:cs="Calibri"/>
          <w:b w:val="0"/>
          <w:bCs w:val="0"/>
          <w:color w:val="000000" w:themeColor="text1"/>
        </w:rPr>
        <w:t xml:space="preserve">All households contacted through outreach are screened as soon as possible for critical health and safety needs to identify people with the most severe service needs (including people who are chronically homeless and/or with active mental health or substance abuse issues) and provide an appropriate response. </w:t>
      </w:r>
    </w:p>
    <w:p w14:paraId="556C1BB8" w14:textId="15B8BC94" w:rsidR="00D47164" w:rsidRPr="00D47164" w:rsidRDefault="00D47164">
      <w:pPr>
        <w:pStyle w:val="ListParagraph"/>
        <w:numPr>
          <w:ilvl w:val="0"/>
          <w:numId w:val="76"/>
        </w:numPr>
        <w:rPr>
          <w:rFonts w:ascii="Calibri" w:hAnsi="Calibri"/>
          <w:color w:val="000000" w:themeColor="text1"/>
        </w:rPr>
      </w:pPr>
      <w:r w:rsidRPr="00D47164">
        <w:rPr>
          <w:rStyle w:val="Strong"/>
          <w:rFonts w:ascii="Calibri" w:hAnsi="Calibri" w:cs="Calibri"/>
          <w:b w:val="0"/>
          <w:bCs w:val="0"/>
          <w:color w:val="000000" w:themeColor="text1"/>
        </w:rPr>
        <w:t>Outreach is comprehensive and coordinated with other CSCoC assistance and the CSCoC’s Coordinated Entry System to assure access to assistance regardless of where a household is located in the CSCoC’s service area.</w:t>
      </w:r>
    </w:p>
    <w:p w14:paraId="4075F409" w14:textId="77777777" w:rsidR="00D47164" w:rsidRPr="00D47164" w:rsidRDefault="00D47164" w:rsidP="00D47164">
      <w:pPr>
        <w:pStyle w:val="ListParagraph"/>
        <w:ind w:left="1440"/>
        <w:rPr>
          <w:rFonts w:ascii="Calibri" w:hAnsi="Calibri"/>
          <w:color w:val="000000" w:themeColor="text1"/>
          <w:sz w:val="20"/>
          <w:szCs w:val="21"/>
        </w:rPr>
      </w:pPr>
    </w:p>
    <w:p w14:paraId="081FC415" w14:textId="75D70AE8" w:rsidR="00D47164" w:rsidRPr="0061434B" w:rsidRDefault="00D47164">
      <w:pPr>
        <w:pStyle w:val="Heading2"/>
        <w:numPr>
          <w:ilvl w:val="0"/>
          <w:numId w:val="72"/>
        </w:numPr>
        <w:spacing w:before="0" w:line="240" w:lineRule="auto"/>
        <w:contextualSpacing/>
        <w:rPr>
          <w:color w:val="0070C0"/>
        </w:rPr>
      </w:pPr>
      <w:bookmarkStart w:id="170" w:name="_Toc124255077"/>
      <w:r w:rsidRPr="0061434B">
        <w:rPr>
          <w:color w:val="0070C0"/>
        </w:rPr>
        <w:t>Service Requirements</w:t>
      </w:r>
      <w:bookmarkEnd w:id="170"/>
      <w:r w:rsidRPr="0061434B">
        <w:rPr>
          <w:color w:val="0070C0"/>
        </w:rPr>
        <w:t xml:space="preserve"> </w:t>
      </w:r>
    </w:p>
    <w:p w14:paraId="1E418AAD" w14:textId="77777777" w:rsidR="00D47164" w:rsidRPr="00D47164" w:rsidRDefault="00D47164">
      <w:pPr>
        <w:pStyle w:val="ListParagraph"/>
        <w:numPr>
          <w:ilvl w:val="0"/>
          <w:numId w:val="77"/>
        </w:numPr>
        <w:rPr>
          <w:rStyle w:val="Strong"/>
          <w:rFonts w:ascii="Calibri" w:hAnsi="Calibri"/>
          <w:b w:val="0"/>
          <w:bCs w:val="0"/>
          <w:color w:val="000000" w:themeColor="text1"/>
        </w:rPr>
      </w:pPr>
      <w:r w:rsidRPr="00D47164">
        <w:rPr>
          <w:rStyle w:val="Strong"/>
          <w:rFonts w:ascii="Calibri" w:hAnsi="Calibri" w:cs="Calibri"/>
          <w:b w:val="0"/>
          <w:bCs w:val="0"/>
          <w:color w:val="000000" w:themeColor="text1"/>
        </w:rPr>
        <w:t>Households are provided access to emergency shelter, permanent housing, and services without preconditions, such as sobriety or minimum income level.</w:t>
      </w:r>
    </w:p>
    <w:p w14:paraId="45B1FFB1" w14:textId="044B2041" w:rsidR="00D47164" w:rsidRPr="00D47164" w:rsidRDefault="00D47164">
      <w:pPr>
        <w:pStyle w:val="ListParagraph"/>
        <w:numPr>
          <w:ilvl w:val="0"/>
          <w:numId w:val="77"/>
        </w:numPr>
        <w:rPr>
          <w:rStyle w:val="Strong"/>
          <w:rFonts w:ascii="Calibri" w:hAnsi="Calibri"/>
          <w:b w:val="0"/>
          <w:bCs w:val="0"/>
          <w:color w:val="000000" w:themeColor="text1"/>
        </w:rPr>
      </w:pPr>
      <w:r w:rsidRPr="00D47164">
        <w:rPr>
          <w:rStyle w:val="Strong"/>
          <w:rFonts w:ascii="Calibri" w:hAnsi="Calibri" w:cs="Calibri"/>
          <w:b w:val="0"/>
          <w:bCs w:val="0"/>
          <w:color w:val="000000" w:themeColor="text1"/>
        </w:rPr>
        <w:t>Households are provided or connected to housing location and placement assistance, including financial assistance for move-in costs, to achieve their Housing Plan goals.</w:t>
      </w:r>
    </w:p>
    <w:p w14:paraId="5120FE22" w14:textId="54BC75A5" w:rsidR="00D47164" w:rsidRPr="00D47164" w:rsidRDefault="00D47164">
      <w:pPr>
        <w:pStyle w:val="ListParagraph"/>
        <w:numPr>
          <w:ilvl w:val="2"/>
          <w:numId w:val="77"/>
        </w:numPr>
        <w:rPr>
          <w:rStyle w:val="Strong"/>
          <w:rFonts w:ascii="Calibri" w:hAnsi="Calibri"/>
          <w:b w:val="0"/>
          <w:bCs w:val="0"/>
          <w:color w:val="000000" w:themeColor="text1"/>
        </w:rPr>
      </w:pPr>
      <w:r w:rsidRPr="00D47164">
        <w:rPr>
          <w:rStyle w:val="Strong"/>
          <w:rFonts w:ascii="Calibri" w:hAnsi="Calibri" w:cs="Calibri"/>
          <w:b w:val="0"/>
          <w:bCs w:val="0"/>
          <w:color w:val="000000" w:themeColor="text1"/>
        </w:rPr>
        <w:t>Assistance is provided:</w:t>
      </w:r>
    </w:p>
    <w:p w14:paraId="5CFA1574" w14:textId="2695074C" w:rsidR="00D47164" w:rsidRPr="00D47164" w:rsidRDefault="00D47164">
      <w:pPr>
        <w:pStyle w:val="ListParagraph"/>
        <w:numPr>
          <w:ilvl w:val="3"/>
          <w:numId w:val="77"/>
        </w:numPr>
        <w:rPr>
          <w:rStyle w:val="Strong"/>
          <w:rFonts w:ascii="Calibri" w:hAnsi="Calibri"/>
          <w:b w:val="0"/>
          <w:bCs w:val="0"/>
          <w:color w:val="000000" w:themeColor="text1"/>
        </w:rPr>
      </w:pPr>
      <w:r w:rsidRPr="00D47164">
        <w:rPr>
          <w:rStyle w:val="Strong"/>
          <w:rFonts w:ascii="Calibri" w:hAnsi="Calibri" w:cs="Calibri"/>
          <w:b w:val="0"/>
          <w:bCs w:val="0"/>
          <w:color w:val="000000" w:themeColor="text1"/>
        </w:rPr>
        <w:t>Without additional preconditions, such as employment or sobriety; and</w:t>
      </w:r>
    </w:p>
    <w:p w14:paraId="3E45AADA" w14:textId="00801BED" w:rsidR="00D47164" w:rsidRPr="00D47164" w:rsidRDefault="00D47164">
      <w:pPr>
        <w:pStyle w:val="ListParagraph"/>
        <w:numPr>
          <w:ilvl w:val="3"/>
          <w:numId w:val="77"/>
        </w:numPr>
        <w:rPr>
          <w:rStyle w:val="Strong"/>
          <w:rFonts w:ascii="Calibri" w:hAnsi="Calibri"/>
          <w:b w:val="0"/>
          <w:bCs w:val="0"/>
          <w:color w:val="000000" w:themeColor="text1"/>
        </w:rPr>
      </w:pPr>
      <w:r w:rsidRPr="00D47164">
        <w:rPr>
          <w:rStyle w:val="Strong"/>
          <w:rFonts w:ascii="Calibri" w:hAnsi="Calibri" w:cs="Calibri"/>
          <w:b w:val="0"/>
          <w:bCs w:val="0"/>
          <w:color w:val="000000" w:themeColor="text1"/>
        </w:rPr>
        <w:t>With understanding that housing may cost greater than 30% of household income.</w:t>
      </w:r>
    </w:p>
    <w:p w14:paraId="4DBBF38B" w14:textId="770E2F9A" w:rsidR="00D47164" w:rsidRPr="00D47164" w:rsidRDefault="00D47164">
      <w:pPr>
        <w:pStyle w:val="ListParagraph"/>
        <w:numPr>
          <w:ilvl w:val="0"/>
          <w:numId w:val="77"/>
        </w:numPr>
        <w:rPr>
          <w:rStyle w:val="Strong"/>
          <w:rFonts w:ascii="Calibri" w:hAnsi="Calibri"/>
          <w:b w:val="0"/>
          <w:bCs w:val="0"/>
          <w:color w:val="000000" w:themeColor="text1"/>
        </w:rPr>
      </w:pPr>
      <w:r w:rsidRPr="00D47164">
        <w:rPr>
          <w:rStyle w:val="Strong"/>
          <w:rFonts w:ascii="Calibri" w:hAnsi="Calibri" w:cs="Calibri"/>
          <w:b w:val="0"/>
          <w:bCs w:val="0"/>
          <w:color w:val="000000" w:themeColor="text1"/>
        </w:rPr>
        <w:lastRenderedPageBreak/>
        <w:t>Connections to the Coordinated Entry System</w:t>
      </w:r>
    </w:p>
    <w:p w14:paraId="76450CD8" w14:textId="6EE076A2" w:rsidR="00D47164" w:rsidRPr="00D47164" w:rsidRDefault="00D47164">
      <w:pPr>
        <w:pStyle w:val="ListParagraph"/>
        <w:numPr>
          <w:ilvl w:val="2"/>
          <w:numId w:val="77"/>
        </w:numPr>
        <w:rPr>
          <w:rFonts w:ascii="Calibri" w:hAnsi="Calibri"/>
          <w:color w:val="000000" w:themeColor="text1"/>
        </w:rPr>
      </w:pPr>
      <w:r w:rsidRPr="00D47164">
        <w:rPr>
          <w:rFonts w:ascii="Calibri" w:hAnsi="Calibri" w:cs="Calibri"/>
          <w:color w:val="000000" w:themeColor="text1"/>
        </w:rPr>
        <w:t>Street outreach programs accept referrals through the CSCoC’s Coordinated Entry System and triages referrals according to the CSCoC’s Coordinated Entry System Procedures.</w:t>
      </w:r>
    </w:p>
    <w:p w14:paraId="34341D90" w14:textId="4A1E842B" w:rsidR="00D47164" w:rsidRPr="00D47164" w:rsidRDefault="00D47164">
      <w:pPr>
        <w:pStyle w:val="ListParagraph"/>
        <w:numPr>
          <w:ilvl w:val="2"/>
          <w:numId w:val="77"/>
        </w:numPr>
        <w:rPr>
          <w:rStyle w:val="Strong"/>
          <w:rFonts w:ascii="Calibri" w:hAnsi="Calibri"/>
          <w:b w:val="0"/>
          <w:bCs w:val="0"/>
          <w:color w:val="000000" w:themeColor="text1"/>
        </w:rPr>
      </w:pPr>
      <w:r w:rsidRPr="00D47164">
        <w:rPr>
          <w:rStyle w:val="Strong"/>
          <w:rFonts w:ascii="Calibri" w:hAnsi="Calibri" w:cs="Calibri"/>
          <w:b w:val="0"/>
          <w:bCs w:val="0"/>
          <w:color w:val="000000" w:themeColor="text1"/>
          <w:shd w:val="clear" w:color="auto" w:fill="FFFFFF"/>
        </w:rPr>
        <w:t>Households are referred to other forms of homeless assistance in the CoC service area according to the CoC’s Coordinated Entry System Policies &amp; Procedures.</w:t>
      </w:r>
    </w:p>
    <w:p w14:paraId="13BB206C" w14:textId="77777777" w:rsidR="00D47164" w:rsidRPr="00D47164" w:rsidRDefault="00D47164">
      <w:pPr>
        <w:pStyle w:val="ListParagraph"/>
        <w:numPr>
          <w:ilvl w:val="2"/>
          <w:numId w:val="77"/>
        </w:numPr>
        <w:rPr>
          <w:rStyle w:val="Strong"/>
          <w:rFonts w:ascii="Calibri" w:hAnsi="Calibri"/>
          <w:b w:val="0"/>
          <w:bCs w:val="0"/>
          <w:color w:val="000000" w:themeColor="text1"/>
        </w:rPr>
      </w:pPr>
      <w:r w:rsidRPr="00D47164">
        <w:rPr>
          <w:rFonts w:ascii="Calibri" w:hAnsi="Calibri" w:cs="Calibri"/>
          <w:color w:val="000000" w:themeColor="text1"/>
        </w:rPr>
        <w:t>Service provider staff should be made aware of and know how to access an emergency shelter, transitional housing, and a wide variety of housing options (public/private, subsidized/unsubsidized, local permanent supportive housing, etc.) directly or through the CSCoC’s Coordinated Entry System to help households achieve their Housing Stability Plan goals.</w:t>
      </w:r>
      <w:r w:rsidRPr="00D47164">
        <w:rPr>
          <w:rStyle w:val="Strong"/>
          <w:rFonts w:ascii="Calibri" w:hAnsi="Calibri" w:cs="Calibri"/>
          <w:b w:val="0"/>
          <w:bCs w:val="0"/>
          <w:color w:val="000000" w:themeColor="text1"/>
          <w:highlight w:val="magenta"/>
        </w:rPr>
        <w:t xml:space="preserve"> </w:t>
      </w:r>
    </w:p>
    <w:p w14:paraId="5E4B5C36" w14:textId="77777777" w:rsidR="00D47164" w:rsidRPr="00D47164" w:rsidRDefault="00D47164">
      <w:pPr>
        <w:pStyle w:val="ListParagraph"/>
        <w:numPr>
          <w:ilvl w:val="0"/>
          <w:numId w:val="77"/>
        </w:numPr>
        <w:rPr>
          <w:rStyle w:val="Strong"/>
          <w:rFonts w:ascii="Calibri" w:hAnsi="Calibri"/>
          <w:b w:val="0"/>
          <w:bCs w:val="0"/>
          <w:color w:val="000000" w:themeColor="text1"/>
        </w:rPr>
      </w:pPr>
      <w:r w:rsidRPr="00D47164">
        <w:rPr>
          <w:rStyle w:val="Strong"/>
          <w:rFonts w:ascii="Calibri" w:hAnsi="Calibri" w:cs="Calibri"/>
          <w:b w:val="0"/>
          <w:bCs w:val="0"/>
          <w:color w:val="000000" w:themeColor="text1"/>
        </w:rPr>
        <w:t>Upon receipt of services through the street outreach program, households will be associated with creating and updating individualized Housing Stability Plans designed to access emergency shelter and/or re-house and stabilize households as quickly as possible.</w:t>
      </w:r>
      <w:r w:rsidRPr="00D47164">
        <w:rPr>
          <w:rStyle w:val="Strong"/>
          <w:rFonts w:ascii="Calibri" w:hAnsi="Calibri" w:cs="Calibri"/>
          <w:b w:val="0"/>
          <w:bCs w:val="0"/>
          <w:color w:val="000000" w:themeColor="text1"/>
          <w:shd w:val="clear" w:color="auto" w:fill="FFFFFF"/>
        </w:rPr>
        <w:t xml:space="preserve"> </w:t>
      </w:r>
    </w:p>
    <w:p w14:paraId="0FC1337A" w14:textId="0C1D707E" w:rsidR="00D47164" w:rsidRPr="00D47164" w:rsidRDefault="00D47164">
      <w:pPr>
        <w:pStyle w:val="ListParagraph"/>
        <w:numPr>
          <w:ilvl w:val="2"/>
          <w:numId w:val="77"/>
        </w:numPr>
        <w:rPr>
          <w:rStyle w:val="Strong"/>
          <w:rFonts w:ascii="Calibri" w:hAnsi="Calibri"/>
          <w:b w:val="0"/>
          <w:bCs w:val="0"/>
          <w:color w:val="000000" w:themeColor="text1"/>
        </w:rPr>
      </w:pPr>
      <w:r w:rsidRPr="00D47164">
        <w:rPr>
          <w:rStyle w:val="Strong"/>
          <w:rFonts w:ascii="Calibri" w:hAnsi="Calibri" w:cs="Calibri"/>
          <w:b w:val="0"/>
          <w:bCs w:val="0"/>
          <w:color w:val="000000" w:themeColor="text1"/>
          <w:shd w:val="clear" w:color="auto" w:fill="FFFFFF"/>
        </w:rPr>
        <w:t>Households are expected to be actively working on Housing Stability Plans and engaging in related assistance to overcome immediate and direct barriers to securing housing, with the support of service providers.</w:t>
      </w:r>
    </w:p>
    <w:p w14:paraId="60714253" w14:textId="531417D3" w:rsidR="00D47164" w:rsidRPr="00D47164" w:rsidRDefault="00D47164">
      <w:pPr>
        <w:pStyle w:val="ListParagraph"/>
        <w:numPr>
          <w:ilvl w:val="2"/>
          <w:numId w:val="77"/>
        </w:numPr>
        <w:rPr>
          <w:rFonts w:ascii="Calibri" w:hAnsi="Calibri"/>
          <w:color w:val="000000" w:themeColor="text1"/>
        </w:rPr>
      </w:pPr>
      <w:r w:rsidRPr="00D47164">
        <w:rPr>
          <w:rFonts w:ascii="Calibri" w:hAnsi="Calibri" w:cs="Calibri"/>
          <w:color w:val="000000" w:themeColor="text1"/>
        </w:rPr>
        <w:t>Participation in services unrelated to obtaining permanent housing is voluntary.</w:t>
      </w:r>
    </w:p>
    <w:p w14:paraId="44E2D67D" w14:textId="60920210" w:rsidR="00D47164" w:rsidRPr="00D47164" w:rsidRDefault="00D47164">
      <w:pPr>
        <w:pStyle w:val="ListParagraph"/>
        <w:numPr>
          <w:ilvl w:val="2"/>
          <w:numId w:val="77"/>
        </w:numPr>
        <w:rPr>
          <w:rFonts w:ascii="Calibri" w:hAnsi="Calibri"/>
          <w:color w:val="000000" w:themeColor="text1"/>
        </w:rPr>
      </w:pPr>
      <w:r w:rsidRPr="00D47164">
        <w:rPr>
          <w:rFonts w:ascii="Calibri" w:hAnsi="Calibri" w:cs="Calibri"/>
          <w:color w:val="000000" w:themeColor="text1"/>
        </w:rPr>
        <w:t>Service provider staff should be informed of, and know how to access, other community resources (e.g., legal services) that can help households achieve their Housing Stability Plan goals.</w:t>
      </w:r>
    </w:p>
    <w:p w14:paraId="5C660C9B" w14:textId="37560B36" w:rsidR="00D47164" w:rsidRPr="00D47164" w:rsidRDefault="00D47164">
      <w:pPr>
        <w:pStyle w:val="ListParagraph"/>
        <w:numPr>
          <w:ilvl w:val="0"/>
          <w:numId w:val="77"/>
        </w:numPr>
        <w:rPr>
          <w:rFonts w:ascii="Calibri" w:hAnsi="Calibri"/>
          <w:color w:val="000000" w:themeColor="text1"/>
        </w:rPr>
      </w:pPr>
      <w:r w:rsidRPr="00D47164">
        <w:rPr>
          <w:rFonts w:ascii="Calibri" w:hAnsi="Calibri" w:cs="Calibri"/>
          <w:color w:val="000000" w:themeColor="text1"/>
        </w:rPr>
        <w:t>Eligible Costs for ESG-Funded Street Outreach</w:t>
      </w:r>
    </w:p>
    <w:p w14:paraId="6B96DBCB" w14:textId="77777777" w:rsidR="00D47164" w:rsidRPr="00D47164" w:rsidRDefault="00D47164">
      <w:pPr>
        <w:pStyle w:val="ListParagraph"/>
        <w:numPr>
          <w:ilvl w:val="2"/>
          <w:numId w:val="77"/>
        </w:numPr>
        <w:rPr>
          <w:rFonts w:ascii="Calibri" w:hAnsi="Calibri"/>
          <w:color w:val="000000" w:themeColor="text1"/>
        </w:rPr>
      </w:pPr>
      <w:r w:rsidRPr="00D47164">
        <w:rPr>
          <w:rFonts w:ascii="Calibri" w:hAnsi="Calibri" w:cs="Calibri"/>
          <w:color w:val="000000" w:themeColor="text1"/>
        </w:rPr>
        <w:t xml:space="preserve">Engagement </w:t>
      </w:r>
    </w:p>
    <w:p w14:paraId="2695F515" w14:textId="77777777" w:rsidR="00D47164" w:rsidRPr="00D47164" w:rsidRDefault="00D47164">
      <w:pPr>
        <w:pStyle w:val="ListParagraph"/>
        <w:numPr>
          <w:ilvl w:val="2"/>
          <w:numId w:val="77"/>
        </w:numPr>
        <w:rPr>
          <w:rFonts w:ascii="Calibri" w:hAnsi="Calibri"/>
          <w:color w:val="000000" w:themeColor="text1"/>
        </w:rPr>
      </w:pPr>
      <w:r w:rsidRPr="00D47164">
        <w:rPr>
          <w:rFonts w:ascii="Calibri" w:hAnsi="Calibri" w:cs="Calibri"/>
          <w:color w:val="000000" w:themeColor="text1"/>
        </w:rPr>
        <w:t xml:space="preserve">Case Management </w:t>
      </w:r>
    </w:p>
    <w:p w14:paraId="1A2AC701" w14:textId="77777777" w:rsidR="00D47164" w:rsidRPr="00D47164" w:rsidRDefault="00D47164">
      <w:pPr>
        <w:pStyle w:val="ListParagraph"/>
        <w:numPr>
          <w:ilvl w:val="2"/>
          <w:numId w:val="77"/>
        </w:numPr>
        <w:rPr>
          <w:rFonts w:ascii="Calibri" w:hAnsi="Calibri"/>
          <w:color w:val="000000" w:themeColor="text1"/>
        </w:rPr>
      </w:pPr>
      <w:r w:rsidRPr="00D47164">
        <w:rPr>
          <w:rFonts w:ascii="Calibri" w:hAnsi="Calibri" w:cs="Calibri"/>
          <w:color w:val="000000" w:themeColor="text1"/>
        </w:rPr>
        <w:t xml:space="preserve">Emergency Health Services  </w:t>
      </w:r>
    </w:p>
    <w:p w14:paraId="72A8A597" w14:textId="77777777" w:rsidR="00D47164" w:rsidRPr="00D47164" w:rsidRDefault="00D47164">
      <w:pPr>
        <w:pStyle w:val="ListParagraph"/>
        <w:numPr>
          <w:ilvl w:val="2"/>
          <w:numId w:val="77"/>
        </w:numPr>
        <w:rPr>
          <w:rFonts w:ascii="Calibri" w:hAnsi="Calibri"/>
          <w:color w:val="000000" w:themeColor="text1"/>
        </w:rPr>
      </w:pPr>
      <w:r w:rsidRPr="00D47164">
        <w:rPr>
          <w:rFonts w:ascii="Calibri" w:hAnsi="Calibri" w:cs="Calibri"/>
          <w:color w:val="000000" w:themeColor="text1"/>
        </w:rPr>
        <w:t xml:space="preserve">Emergency Mental Health Services </w:t>
      </w:r>
    </w:p>
    <w:p w14:paraId="639161A9" w14:textId="06808DA6" w:rsidR="00D47164" w:rsidRPr="00D47164" w:rsidRDefault="00D47164">
      <w:pPr>
        <w:pStyle w:val="ListParagraph"/>
        <w:numPr>
          <w:ilvl w:val="2"/>
          <w:numId w:val="77"/>
        </w:numPr>
        <w:rPr>
          <w:rFonts w:ascii="Calibri" w:hAnsi="Calibri"/>
          <w:color w:val="000000" w:themeColor="text1"/>
        </w:rPr>
      </w:pPr>
      <w:r w:rsidRPr="00D47164">
        <w:rPr>
          <w:rFonts w:ascii="Calibri" w:hAnsi="Calibri" w:cs="Calibri"/>
          <w:color w:val="000000" w:themeColor="text1"/>
        </w:rPr>
        <w:t xml:space="preserve">Transportation </w:t>
      </w:r>
    </w:p>
    <w:p w14:paraId="7AF8E032" w14:textId="5B5C7EFD" w:rsidR="00D47164" w:rsidRPr="00D47164" w:rsidRDefault="00D47164">
      <w:pPr>
        <w:pStyle w:val="ListParagraph"/>
        <w:numPr>
          <w:ilvl w:val="2"/>
          <w:numId w:val="77"/>
        </w:numPr>
        <w:rPr>
          <w:rFonts w:ascii="Calibri" w:hAnsi="Calibri"/>
          <w:color w:val="000000" w:themeColor="text1"/>
        </w:rPr>
      </w:pPr>
      <w:r w:rsidRPr="00D47164">
        <w:rPr>
          <w:rFonts w:ascii="Calibri" w:hAnsi="Calibri" w:cs="Calibri"/>
          <w:color w:val="000000" w:themeColor="text1"/>
        </w:rPr>
        <w:t>Services for Special Populations</w:t>
      </w:r>
    </w:p>
    <w:p w14:paraId="58AB0DA1" w14:textId="77777777" w:rsidR="00D47164" w:rsidRDefault="00D47164" w:rsidP="00D47164">
      <w:pPr>
        <w:contextualSpacing/>
        <w:rPr>
          <w:rFonts w:ascii="Calibri" w:hAnsi="Calibri" w:cs="Calibri"/>
          <w:color w:val="000000" w:themeColor="text1"/>
        </w:rPr>
      </w:pPr>
    </w:p>
    <w:p w14:paraId="5CCA12E3" w14:textId="6E4BCFC2" w:rsidR="00D47164" w:rsidRPr="0061434B" w:rsidRDefault="00D47164">
      <w:pPr>
        <w:pStyle w:val="Heading2"/>
        <w:numPr>
          <w:ilvl w:val="0"/>
          <w:numId w:val="72"/>
        </w:numPr>
        <w:spacing w:before="0" w:line="240" w:lineRule="auto"/>
        <w:contextualSpacing/>
        <w:rPr>
          <w:color w:val="0070C0"/>
        </w:rPr>
      </w:pPr>
      <w:bookmarkStart w:id="171" w:name="_Toc124255078"/>
      <w:r w:rsidRPr="0061434B">
        <w:rPr>
          <w:color w:val="0070C0"/>
        </w:rPr>
        <w:t>Duration of Assistance</w:t>
      </w:r>
      <w:bookmarkEnd w:id="171"/>
      <w:r w:rsidRPr="0061434B">
        <w:rPr>
          <w:color w:val="0070C0"/>
        </w:rPr>
        <w:t xml:space="preserve"> </w:t>
      </w:r>
    </w:p>
    <w:p w14:paraId="4F438407" w14:textId="1FC962E2" w:rsidR="00D47164" w:rsidRPr="00D47164" w:rsidRDefault="00D47164">
      <w:pPr>
        <w:pStyle w:val="ListParagraph"/>
        <w:numPr>
          <w:ilvl w:val="0"/>
          <w:numId w:val="78"/>
        </w:numPr>
        <w:rPr>
          <w:rFonts w:ascii="Calibri" w:hAnsi="Calibri"/>
          <w:color w:val="000000" w:themeColor="text1"/>
        </w:rPr>
      </w:pPr>
      <w:r w:rsidRPr="00D47164">
        <w:rPr>
          <w:rFonts w:ascii="Calibri" w:hAnsi="Calibri"/>
          <w:color w:val="000000" w:themeColor="text1"/>
        </w:rPr>
        <w:t xml:space="preserve">HUD ESG funding guidelines do not establish a maximum length of time that a household can receive assistance through street outreach. </w:t>
      </w:r>
    </w:p>
    <w:p w14:paraId="0BE33852" w14:textId="27A0CC41" w:rsidR="00D47164" w:rsidRPr="00D47164" w:rsidRDefault="00D47164">
      <w:pPr>
        <w:pStyle w:val="ListParagraph"/>
        <w:numPr>
          <w:ilvl w:val="2"/>
          <w:numId w:val="78"/>
        </w:numPr>
        <w:rPr>
          <w:rStyle w:val="Strong"/>
          <w:rFonts w:ascii="Calibri" w:hAnsi="Calibri"/>
          <w:b w:val="0"/>
          <w:bCs w:val="0"/>
          <w:color w:val="000000" w:themeColor="text1"/>
        </w:rPr>
      </w:pPr>
      <w:r w:rsidRPr="00D47164">
        <w:rPr>
          <w:rFonts w:ascii="Calibri" w:hAnsi="Calibri"/>
          <w:color w:val="000000" w:themeColor="text1"/>
          <w:shd w:val="clear" w:color="auto" w:fill="FFFFFF"/>
        </w:rPr>
        <w:t>Please see “Standards for Termination of Assistance and Grievance Procedure” (pg. 13-14) for more information.</w:t>
      </w:r>
    </w:p>
    <w:p w14:paraId="76C0F101" w14:textId="77777777" w:rsidR="00135394" w:rsidRPr="00D47164" w:rsidRDefault="00135394" w:rsidP="00135394">
      <w:pPr>
        <w:pStyle w:val="ListParagraph"/>
        <w:ind w:left="1440"/>
        <w:rPr>
          <w:rFonts w:ascii="Calibri" w:hAnsi="Calibri"/>
          <w:color w:val="000000" w:themeColor="text1"/>
          <w:sz w:val="20"/>
          <w:szCs w:val="21"/>
        </w:rPr>
      </w:pPr>
    </w:p>
    <w:p w14:paraId="62EAA1A8" w14:textId="5FD7855E" w:rsidR="00135394" w:rsidRDefault="00135394">
      <w:pPr>
        <w:pStyle w:val="Heading2"/>
        <w:numPr>
          <w:ilvl w:val="0"/>
          <w:numId w:val="72"/>
        </w:numPr>
        <w:spacing w:before="0" w:line="240" w:lineRule="auto"/>
        <w:contextualSpacing/>
        <w:rPr>
          <w:color w:val="000000" w:themeColor="text1"/>
        </w:rPr>
      </w:pPr>
      <w:bookmarkStart w:id="172" w:name="_Toc124255079"/>
      <w:r>
        <w:rPr>
          <w:color w:val="000000" w:themeColor="text1"/>
        </w:rPr>
        <w:t>ESG-CV Standards</w:t>
      </w:r>
      <w:r w:rsidRPr="00D47164">
        <w:rPr>
          <w:color w:val="000000" w:themeColor="text1"/>
        </w:rPr>
        <w:t xml:space="preserve"> </w:t>
      </w:r>
      <w:r w:rsidR="003570C0">
        <w:rPr>
          <w:color w:val="000000" w:themeColor="text1"/>
        </w:rPr>
        <w:t>for Street Outreach</w:t>
      </w:r>
      <w:bookmarkEnd w:id="172"/>
    </w:p>
    <w:p w14:paraId="6A244375" w14:textId="0858AC4D" w:rsidR="00CA6E35" w:rsidRPr="00901DB9" w:rsidRDefault="00CA6E35" w:rsidP="00CA6E35">
      <w:pPr>
        <w:pStyle w:val="ListParagraph"/>
        <w:numPr>
          <w:ilvl w:val="0"/>
          <w:numId w:val="87"/>
        </w:numPr>
        <w:rPr>
          <w:highlight w:val="yellow"/>
        </w:rPr>
      </w:pPr>
      <w:r w:rsidRPr="00901DB9">
        <w:rPr>
          <w:highlight w:val="yellow"/>
        </w:rPr>
        <w:t>Coordination among emergency shelter providers, essential services providers, homelessness prevention, and rapid re-housing</w:t>
      </w:r>
      <w:r w:rsidR="00901DB9" w:rsidRPr="00901DB9">
        <w:rPr>
          <w:highlight w:val="yellow"/>
        </w:rPr>
        <w:t xml:space="preserve"> assistance providers includes but is not limited to:</w:t>
      </w:r>
    </w:p>
    <w:p w14:paraId="4CD6B6E6" w14:textId="4C8D4969" w:rsidR="00901DB9" w:rsidRPr="00901DB9" w:rsidRDefault="00901DB9" w:rsidP="00901DB9">
      <w:pPr>
        <w:pStyle w:val="ListParagraph"/>
        <w:numPr>
          <w:ilvl w:val="2"/>
          <w:numId w:val="87"/>
        </w:numPr>
        <w:rPr>
          <w:highlight w:val="yellow"/>
        </w:rPr>
      </w:pPr>
      <w:r w:rsidRPr="00901DB9">
        <w:rPr>
          <w:highlight w:val="yellow"/>
        </w:rPr>
        <w:lastRenderedPageBreak/>
        <w:t>Local landlords</w:t>
      </w:r>
    </w:p>
    <w:p w14:paraId="63462EFD" w14:textId="205C79BB" w:rsidR="00901DB9" w:rsidRPr="00901DB9" w:rsidRDefault="00901DB9" w:rsidP="00901DB9">
      <w:pPr>
        <w:pStyle w:val="ListParagraph"/>
        <w:numPr>
          <w:ilvl w:val="2"/>
          <w:numId w:val="87"/>
        </w:numPr>
        <w:rPr>
          <w:highlight w:val="yellow"/>
        </w:rPr>
      </w:pPr>
      <w:r w:rsidRPr="00901DB9">
        <w:rPr>
          <w:highlight w:val="yellow"/>
        </w:rPr>
        <w:t>Departments of Social Services (Amador, Calaveras, Mariposa and Tuolumne) counties</w:t>
      </w:r>
    </w:p>
    <w:p w14:paraId="16B6BBF9" w14:textId="5B0CACC9" w:rsidR="00901DB9" w:rsidRPr="00901DB9" w:rsidRDefault="00901DB9" w:rsidP="00901DB9">
      <w:pPr>
        <w:pStyle w:val="ListParagraph"/>
        <w:numPr>
          <w:ilvl w:val="2"/>
          <w:numId w:val="87"/>
        </w:numPr>
        <w:rPr>
          <w:highlight w:val="yellow"/>
        </w:rPr>
      </w:pPr>
      <w:r w:rsidRPr="00901DB9">
        <w:rPr>
          <w:highlight w:val="yellow"/>
        </w:rPr>
        <w:t>School Districts</w:t>
      </w:r>
    </w:p>
    <w:p w14:paraId="069323A0" w14:textId="07ED5D90" w:rsidR="00901DB9" w:rsidRPr="00901DB9" w:rsidRDefault="00901DB9" w:rsidP="00901DB9">
      <w:pPr>
        <w:pStyle w:val="ListParagraph"/>
        <w:numPr>
          <w:ilvl w:val="2"/>
          <w:numId w:val="87"/>
        </w:numPr>
        <w:rPr>
          <w:highlight w:val="yellow"/>
        </w:rPr>
      </w:pPr>
      <w:r w:rsidRPr="00901DB9">
        <w:rPr>
          <w:highlight w:val="yellow"/>
        </w:rPr>
        <w:t>Welfare to Work</w:t>
      </w:r>
    </w:p>
    <w:p w14:paraId="37E5F776" w14:textId="382B040D" w:rsidR="00901DB9" w:rsidRPr="00901DB9" w:rsidRDefault="00901DB9" w:rsidP="00901DB9">
      <w:pPr>
        <w:pStyle w:val="ListParagraph"/>
        <w:numPr>
          <w:ilvl w:val="2"/>
          <w:numId w:val="87"/>
        </w:numPr>
        <w:rPr>
          <w:highlight w:val="yellow"/>
        </w:rPr>
      </w:pPr>
      <w:r w:rsidRPr="00901DB9">
        <w:rPr>
          <w:highlight w:val="yellow"/>
        </w:rPr>
        <w:t>Family Resource Centers</w:t>
      </w:r>
    </w:p>
    <w:p w14:paraId="65473D0A" w14:textId="4DF01327" w:rsidR="00901DB9" w:rsidRPr="00901DB9" w:rsidRDefault="00901DB9" w:rsidP="00901DB9">
      <w:pPr>
        <w:pStyle w:val="ListParagraph"/>
        <w:numPr>
          <w:ilvl w:val="2"/>
          <w:numId w:val="87"/>
        </w:numPr>
        <w:rPr>
          <w:highlight w:val="yellow"/>
        </w:rPr>
      </w:pPr>
      <w:r w:rsidRPr="00901DB9">
        <w:rPr>
          <w:highlight w:val="yellow"/>
        </w:rPr>
        <w:t>Child Welfare</w:t>
      </w:r>
    </w:p>
    <w:p w14:paraId="0E1B9E68" w14:textId="30DF3798" w:rsidR="00901DB9" w:rsidRPr="00901DB9" w:rsidRDefault="00901DB9" w:rsidP="00901DB9">
      <w:pPr>
        <w:pStyle w:val="ListParagraph"/>
        <w:numPr>
          <w:ilvl w:val="2"/>
          <w:numId w:val="87"/>
        </w:numPr>
        <w:rPr>
          <w:highlight w:val="yellow"/>
        </w:rPr>
      </w:pPr>
      <w:r w:rsidRPr="00901DB9">
        <w:rPr>
          <w:highlight w:val="yellow"/>
        </w:rPr>
        <w:t>Woman’s Center</w:t>
      </w:r>
    </w:p>
    <w:p w14:paraId="7E648520" w14:textId="3A54EF10" w:rsidR="00901DB9" w:rsidRPr="00901DB9" w:rsidRDefault="00901DB9" w:rsidP="00901DB9">
      <w:pPr>
        <w:pStyle w:val="ListParagraph"/>
        <w:numPr>
          <w:ilvl w:val="2"/>
          <w:numId w:val="87"/>
        </w:numPr>
        <w:rPr>
          <w:highlight w:val="yellow"/>
        </w:rPr>
      </w:pPr>
      <w:r w:rsidRPr="00901DB9">
        <w:rPr>
          <w:highlight w:val="yellow"/>
        </w:rPr>
        <w:t>Foster Care</w:t>
      </w:r>
    </w:p>
    <w:p w14:paraId="67640756" w14:textId="353F89AF" w:rsidR="00901DB9" w:rsidRPr="00901DB9" w:rsidRDefault="00901DB9" w:rsidP="00901DB9">
      <w:pPr>
        <w:pStyle w:val="ListParagraph"/>
        <w:numPr>
          <w:ilvl w:val="2"/>
          <w:numId w:val="87"/>
        </w:numPr>
        <w:rPr>
          <w:highlight w:val="yellow"/>
        </w:rPr>
      </w:pPr>
      <w:r w:rsidRPr="00901DB9">
        <w:rPr>
          <w:highlight w:val="yellow"/>
        </w:rPr>
        <w:t>Valley Mountain Resources</w:t>
      </w:r>
    </w:p>
    <w:p w14:paraId="6191C60E" w14:textId="4F8AAF94" w:rsidR="00901DB9" w:rsidRPr="00901DB9" w:rsidRDefault="00901DB9" w:rsidP="00901DB9">
      <w:pPr>
        <w:pStyle w:val="ListParagraph"/>
        <w:numPr>
          <w:ilvl w:val="2"/>
          <w:numId w:val="87"/>
        </w:numPr>
        <w:rPr>
          <w:highlight w:val="yellow"/>
        </w:rPr>
      </w:pPr>
      <w:r w:rsidRPr="00901DB9">
        <w:rPr>
          <w:highlight w:val="yellow"/>
        </w:rPr>
        <w:t>Behavioral Health</w:t>
      </w:r>
    </w:p>
    <w:p w14:paraId="167EABEA" w14:textId="02FFC692" w:rsidR="00901DB9" w:rsidRPr="00901DB9" w:rsidRDefault="00901DB9" w:rsidP="00901DB9">
      <w:pPr>
        <w:pStyle w:val="ListParagraph"/>
        <w:numPr>
          <w:ilvl w:val="2"/>
          <w:numId w:val="87"/>
        </w:numPr>
        <w:rPr>
          <w:highlight w:val="yellow"/>
        </w:rPr>
      </w:pPr>
      <w:r w:rsidRPr="00901DB9">
        <w:rPr>
          <w:highlight w:val="yellow"/>
        </w:rPr>
        <w:t>Public Health</w:t>
      </w:r>
    </w:p>
    <w:p w14:paraId="29716E70" w14:textId="23214502" w:rsidR="00901DB9" w:rsidRPr="00901DB9" w:rsidRDefault="00901DB9" w:rsidP="00901DB9">
      <w:pPr>
        <w:pStyle w:val="ListParagraph"/>
        <w:numPr>
          <w:ilvl w:val="2"/>
          <w:numId w:val="87"/>
        </w:numPr>
        <w:rPr>
          <w:highlight w:val="yellow"/>
        </w:rPr>
      </w:pPr>
      <w:r w:rsidRPr="00901DB9">
        <w:rPr>
          <w:highlight w:val="yellow"/>
        </w:rPr>
        <w:t>Probation</w:t>
      </w:r>
    </w:p>
    <w:p w14:paraId="4E612522" w14:textId="40DFC884" w:rsidR="00901DB9" w:rsidRPr="00901DB9" w:rsidRDefault="00901DB9" w:rsidP="00901DB9">
      <w:pPr>
        <w:pStyle w:val="ListParagraph"/>
        <w:numPr>
          <w:ilvl w:val="2"/>
          <w:numId w:val="87"/>
        </w:numPr>
        <w:rPr>
          <w:highlight w:val="yellow"/>
        </w:rPr>
      </w:pPr>
      <w:r w:rsidRPr="00901DB9">
        <w:rPr>
          <w:highlight w:val="yellow"/>
        </w:rPr>
        <w:t>Pregnancy Center</w:t>
      </w:r>
    </w:p>
    <w:p w14:paraId="641C3A5B" w14:textId="246725A2" w:rsidR="00901DB9" w:rsidRPr="00901DB9" w:rsidRDefault="00901DB9" w:rsidP="00901DB9">
      <w:pPr>
        <w:pStyle w:val="ListParagraph"/>
        <w:numPr>
          <w:ilvl w:val="2"/>
          <w:numId w:val="87"/>
        </w:numPr>
        <w:rPr>
          <w:highlight w:val="yellow"/>
        </w:rPr>
      </w:pPr>
      <w:r w:rsidRPr="00901DB9">
        <w:rPr>
          <w:highlight w:val="yellow"/>
        </w:rPr>
        <w:t>District Attorney</w:t>
      </w:r>
    </w:p>
    <w:p w14:paraId="241B7DFD" w14:textId="0F33969A" w:rsidR="00901DB9" w:rsidRPr="00901DB9" w:rsidRDefault="00901DB9" w:rsidP="00901DB9">
      <w:pPr>
        <w:pStyle w:val="ListParagraph"/>
        <w:numPr>
          <w:ilvl w:val="2"/>
          <w:numId w:val="87"/>
        </w:numPr>
        <w:rPr>
          <w:highlight w:val="yellow"/>
        </w:rPr>
      </w:pPr>
      <w:r w:rsidRPr="00901DB9">
        <w:rPr>
          <w:highlight w:val="yellow"/>
        </w:rPr>
        <w:t>Victim Witness</w:t>
      </w:r>
    </w:p>
    <w:p w14:paraId="492540B3" w14:textId="66E41EAB" w:rsidR="00901DB9" w:rsidRPr="00901DB9" w:rsidRDefault="00901DB9" w:rsidP="00901DB9">
      <w:pPr>
        <w:pStyle w:val="ListParagraph"/>
        <w:numPr>
          <w:ilvl w:val="2"/>
          <w:numId w:val="87"/>
        </w:numPr>
        <w:rPr>
          <w:highlight w:val="yellow"/>
        </w:rPr>
      </w:pPr>
      <w:r w:rsidRPr="00901DB9">
        <w:rPr>
          <w:highlight w:val="yellow"/>
        </w:rPr>
        <w:t>Hospitals</w:t>
      </w:r>
    </w:p>
    <w:p w14:paraId="778BAD2C" w14:textId="274743F2" w:rsidR="00901DB9" w:rsidRPr="00901DB9" w:rsidRDefault="00901DB9" w:rsidP="00901DB9">
      <w:pPr>
        <w:pStyle w:val="ListParagraph"/>
        <w:numPr>
          <w:ilvl w:val="2"/>
          <w:numId w:val="87"/>
        </w:numPr>
        <w:rPr>
          <w:highlight w:val="yellow"/>
        </w:rPr>
      </w:pPr>
      <w:proofErr w:type="spellStart"/>
      <w:r w:rsidRPr="00901DB9">
        <w:rPr>
          <w:highlight w:val="yellow"/>
        </w:rPr>
        <w:t>WellSpace</w:t>
      </w:r>
      <w:proofErr w:type="spellEnd"/>
    </w:p>
    <w:p w14:paraId="740651D5" w14:textId="1613116B" w:rsidR="00901DB9" w:rsidRPr="00901DB9" w:rsidRDefault="00901DB9" w:rsidP="00901DB9">
      <w:pPr>
        <w:pStyle w:val="ListParagraph"/>
        <w:numPr>
          <w:ilvl w:val="2"/>
          <w:numId w:val="87"/>
        </w:numPr>
        <w:rPr>
          <w:highlight w:val="yellow"/>
        </w:rPr>
      </w:pPr>
      <w:r w:rsidRPr="00901DB9">
        <w:rPr>
          <w:highlight w:val="yellow"/>
        </w:rPr>
        <w:t>Sutter Amador</w:t>
      </w:r>
    </w:p>
    <w:p w14:paraId="748FEEBD" w14:textId="2A5D8F73" w:rsidR="00901DB9" w:rsidRPr="00901DB9" w:rsidRDefault="00901DB9" w:rsidP="00901DB9">
      <w:pPr>
        <w:pStyle w:val="ListParagraph"/>
        <w:numPr>
          <w:ilvl w:val="2"/>
          <w:numId w:val="87"/>
        </w:numPr>
        <w:rPr>
          <w:highlight w:val="yellow"/>
        </w:rPr>
      </w:pPr>
      <w:r w:rsidRPr="00901DB9">
        <w:rPr>
          <w:highlight w:val="yellow"/>
        </w:rPr>
        <w:t>ATCAA</w:t>
      </w:r>
    </w:p>
    <w:p w14:paraId="6254FB47" w14:textId="61280899" w:rsidR="00901DB9" w:rsidRDefault="00901DB9" w:rsidP="00901DB9">
      <w:pPr>
        <w:pStyle w:val="ListParagraph"/>
        <w:numPr>
          <w:ilvl w:val="2"/>
          <w:numId w:val="87"/>
        </w:numPr>
        <w:rPr>
          <w:highlight w:val="yellow"/>
        </w:rPr>
      </w:pPr>
      <w:r w:rsidRPr="00901DB9">
        <w:rPr>
          <w:highlight w:val="yellow"/>
        </w:rPr>
        <w:t>Health and Human Services</w:t>
      </w:r>
    </w:p>
    <w:p w14:paraId="57DEC526" w14:textId="1E516A05" w:rsidR="00901DB9" w:rsidRDefault="00901DB9" w:rsidP="00901DB9">
      <w:pPr>
        <w:pStyle w:val="ListParagraph"/>
        <w:numPr>
          <w:ilvl w:val="0"/>
          <w:numId w:val="87"/>
        </w:numPr>
        <w:rPr>
          <w:highlight w:val="yellow"/>
        </w:rPr>
      </w:pPr>
      <w:r>
        <w:rPr>
          <w:highlight w:val="yellow"/>
        </w:rPr>
        <w:t>Coordination among emergency shelter providers, essential services providers, homelessness prevention, and rapid re-housing assistance providers is strategically performed through utilization of the Coordinated Entry System (CES) and collection, analysis and evaluation of data from the Homeless Management Information System (HMIS).</w:t>
      </w:r>
    </w:p>
    <w:p w14:paraId="345CF358" w14:textId="08AEBE5C" w:rsidR="00901DB9" w:rsidRPr="00901DB9" w:rsidRDefault="00901DB9" w:rsidP="00901DB9">
      <w:pPr>
        <w:pStyle w:val="ListParagraph"/>
        <w:numPr>
          <w:ilvl w:val="0"/>
          <w:numId w:val="87"/>
        </w:numPr>
        <w:rPr>
          <w:highlight w:val="yellow"/>
        </w:rPr>
      </w:pPr>
      <w:r>
        <w:rPr>
          <w:highlight w:val="yellow"/>
        </w:rPr>
        <w:t>CES weekly meetings track individuals and families promoting the best possible bundling of services and strategies for particular situations.</w:t>
      </w:r>
    </w:p>
    <w:p w14:paraId="5E489241" w14:textId="1AE7A214" w:rsidR="00135394" w:rsidRPr="00135394" w:rsidRDefault="00135394">
      <w:pPr>
        <w:pStyle w:val="ListParagraph"/>
        <w:numPr>
          <w:ilvl w:val="0"/>
          <w:numId w:val="87"/>
        </w:numPr>
        <w:rPr>
          <w:rFonts w:ascii="Calibri" w:hAnsi="Calibri"/>
          <w:color w:val="000000" w:themeColor="text1"/>
        </w:rPr>
      </w:pPr>
      <w:r>
        <w:rPr>
          <w:rFonts w:ascii="Calibri" w:hAnsi="Calibri" w:cs="Calibri"/>
          <w:color w:val="000000" w:themeColor="text1"/>
        </w:rPr>
        <w:t>Additional Eligible Activities</w:t>
      </w:r>
    </w:p>
    <w:p w14:paraId="4341A910" w14:textId="2E7514B9" w:rsidR="00135394" w:rsidRPr="00135394" w:rsidRDefault="00135394">
      <w:pPr>
        <w:pStyle w:val="ListParagraph"/>
        <w:numPr>
          <w:ilvl w:val="2"/>
          <w:numId w:val="87"/>
        </w:numPr>
        <w:rPr>
          <w:rFonts w:ascii="Calibri" w:hAnsi="Calibri"/>
          <w:color w:val="000000" w:themeColor="text1"/>
        </w:rPr>
      </w:pPr>
      <w:r w:rsidRPr="00135394">
        <w:rPr>
          <w:rFonts w:ascii="Calibri" w:hAnsi="Calibri" w:cs="Calibri"/>
        </w:rPr>
        <w:t>Handwashing Stations and Portable Bathrooms: ESG-CV funds may be used to pay for installing and maintaining handwashing stations and bathrooms (</w:t>
      </w:r>
      <w:proofErr w:type="gramStart"/>
      <w:r w:rsidRPr="00135394">
        <w:rPr>
          <w:rFonts w:ascii="Calibri" w:hAnsi="Calibri" w:cs="Calibri"/>
        </w:rPr>
        <w:t>e.g.</w:t>
      </w:r>
      <w:proofErr w:type="gramEnd"/>
      <w:r w:rsidRPr="00135394">
        <w:rPr>
          <w:rFonts w:ascii="Calibri" w:hAnsi="Calibri" w:cs="Calibri"/>
        </w:rPr>
        <w:t xml:space="preserve"> portable toilets) in outdoor locations for people experiencing unsheltered homelessness. Allowing ESG-CV funds to pay for the costs of handwashing stations and bathroom facilities will help prevent the spread of coronavirus by providing people living in unsheltered locations regular access to bathrooms and the ability to wash their hands.</w:t>
      </w:r>
    </w:p>
    <w:p w14:paraId="5CA8D000" w14:textId="4C4478D6" w:rsidR="00135394" w:rsidRPr="00135394" w:rsidRDefault="00135394">
      <w:pPr>
        <w:pStyle w:val="ListParagraph"/>
        <w:numPr>
          <w:ilvl w:val="2"/>
          <w:numId w:val="87"/>
        </w:numPr>
        <w:rPr>
          <w:rFonts w:ascii="Calibri" w:hAnsi="Calibri"/>
          <w:color w:val="000000" w:themeColor="text1"/>
        </w:rPr>
      </w:pPr>
      <w:r w:rsidRPr="00135394">
        <w:rPr>
          <w:rFonts w:ascii="Calibri" w:hAnsi="Calibri" w:cs="Calibri"/>
        </w:rPr>
        <w:t>Infectious Disease Prevention Training: ESG-CV funds may be used for training on infectious disease prevention and mitigation for staff working directly to prevent, prepare for, and respond to coronavirus among persons who are homeless or at risk of homelessness. Infectious Disease Prevention Training costs are to be tracked separately.</w:t>
      </w:r>
    </w:p>
    <w:p w14:paraId="79DC8587" w14:textId="64A812AA" w:rsidR="00135394" w:rsidRPr="00135394" w:rsidRDefault="00135394">
      <w:pPr>
        <w:pStyle w:val="ListParagraph"/>
        <w:numPr>
          <w:ilvl w:val="2"/>
          <w:numId w:val="87"/>
        </w:numPr>
        <w:rPr>
          <w:rFonts w:ascii="Calibri" w:hAnsi="Calibri"/>
          <w:color w:val="000000" w:themeColor="text1"/>
        </w:rPr>
      </w:pPr>
      <w:r w:rsidRPr="00135394">
        <w:rPr>
          <w:rFonts w:ascii="Calibri" w:hAnsi="Calibri" w:cs="Calibri"/>
        </w:rPr>
        <w:lastRenderedPageBreak/>
        <w:t>Hazard Pay: ESG-CV funds may be used to provide hazard pay for staff working directly to prevent, prepare for, and respond to coronavirus among persons who are homeless or at risk of homelessness. Examples of staff working directly in support of coronavirus response include street outreach teams, staff working in proximity to persons with coronavirus, or staff working in locations with a high likelihood of contracting coronavirus.</w:t>
      </w:r>
    </w:p>
    <w:p w14:paraId="1EE0DE93" w14:textId="3BCD9029" w:rsidR="00135394" w:rsidRPr="003D267D" w:rsidRDefault="00135394">
      <w:pPr>
        <w:pStyle w:val="ListParagraph"/>
        <w:numPr>
          <w:ilvl w:val="2"/>
          <w:numId w:val="87"/>
        </w:numPr>
        <w:rPr>
          <w:rFonts w:ascii="Calibri" w:hAnsi="Calibri"/>
          <w:color w:val="000000" w:themeColor="text1"/>
        </w:rPr>
      </w:pPr>
      <w:r w:rsidRPr="00135394">
        <w:rPr>
          <w:rFonts w:ascii="Calibri" w:hAnsi="Calibri" w:cs="Calibri"/>
        </w:rPr>
        <w:t>Volunteer Incentives: ESG-CV funds may be used to pay for the cost of providing reasonable incentives to volunteers (e.g., cash or gift cards), who are helping to provide necessary essential services or housing relocation and stabilization services during the coronavirus outbreak. The provision to allow the payment for reasonable volunteer incentive costs will increase the number of people available to provide the needed services and connections to housing for individuals and families experiencing homelessness to prevent the spread of coronavirus. In addition, this provision acknowledges that the normal volunteer pool available to grantees may not be available.</w:t>
      </w:r>
    </w:p>
    <w:p w14:paraId="65657238" w14:textId="56F1A2C4" w:rsidR="00135394" w:rsidRPr="00135394" w:rsidRDefault="00135394">
      <w:pPr>
        <w:pStyle w:val="ListParagraph"/>
        <w:numPr>
          <w:ilvl w:val="0"/>
          <w:numId w:val="87"/>
        </w:numPr>
        <w:rPr>
          <w:rFonts w:ascii="Calibri" w:hAnsi="Calibri"/>
          <w:color w:val="000000" w:themeColor="text1"/>
        </w:rPr>
      </w:pPr>
      <w:r>
        <w:rPr>
          <w:rFonts w:ascii="Calibri" w:hAnsi="Calibri" w:cs="Calibri"/>
        </w:rPr>
        <w:t>Participant Eligibility</w:t>
      </w:r>
    </w:p>
    <w:p w14:paraId="0EFE1272" w14:textId="5724DBB4" w:rsidR="00135394" w:rsidRPr="00135394" w:rsidRDefault="00135394">
      <w:pPr>
        <w:pStyle w:val="ListParagraph"/>
        <w:numPr>
          <w:ilvl w:val="2"/>
          <w:numId w:val="87"/>
        </w:numPr>
        <w:rPr>
          <w:rFonts w:ascii="Calibri" w:hAnsi="Calibri"/>
          <w:color w:val="000000" w:themeColor="text1"/>
        </w:rPr>
      </w:pPr>
      <w:r w:rsidRPr="000800C5">
        <w:rPr>
          <w:rFonts w:ascii="Calibri" w:hAnsi="Calibri" w:cs="Calibri"/>
        </w:rPr>
        <w:t>People who qualify as “unsheltered homeless”, based on category (1)(i) of the “homeless” definition found at 24 CFR 576.2, are eligible for the following activities in compliance with federal ESG rules (24 CFR 576.101):</w:t>
      </w:r>
    </w:p>
    <w:p w14:paraId="3C0D5F88" w14:textId="1BF9CFEA" w:rsidR="00135394" w:rsidRPr="00135394" w:rsidRDefault="00135394">
      <w:pPr>
        <w:pStyle w:val="ListParagraph"/>
        <w:numPr>
          <w:ilvl w:val="3"/>
          <w:numId w:val="87"/>
        </w:numPr>
        <w:rPr>
          <w:rFonts w:ascii="Calibri" w:hAnsi="Calibri"/>
          <w:color w:val="000000" w:themeColor="text1"/>
        </w:rPr>
      </w:pPr>
      <w:r w:rsidRPr="000800C5">
        <w:rPr>
          <w:rFonts w:ascii="Calibri" w:hAnsi="Calibri" w:cs="Calibri"/>
        </w:rPr>
        <w:t>engagement;</w:t>
      </w:r>
    </w:p>
    <w:p w14:paraId="59AA08CA" w14:textId="75AB403E" w:rsidR="00135394" w:rsidRPr="00135394" w:rsidRDefault="00135394">
      <w:pPr>
        <w:pStyle w:val="ListParagraph"/>
        <w:numPr>
          <w:ilvl w:val="3"/>
          <w:numId w:val="87"/>
        </w:numPr>
        <w:rPr>
          <w:rFonts w:ascii="Calibri" w:hAnsi="Calibri"/>
          <w:color w:val="000000" w:themeColor="text1"/>
        </w:rPr>
      </w:pPr>
      <w:r w:rsidRPr="000800C5">
        <w:rPr>
          <w:rFonts w:ascii="Calibri" w:hAnsi="Calibri" w:cs="Calibri"/>
        </w:rPr>
        <w:t>case management;</w:t>
      </w:r>
    </w:p>
    <w:p w14:paraId="45CC6EA1" w14:textId="37942C28" w:rsidR="00135394" w:rsidRPr="00135394" w:rsidRDefault="00135394">
      <w:pPr>
        <w:pStyle w:val="ListParagraph"/>
        <w:numPr>
          <w:ilvl w:val="3"/>
          <w:numId w:val="87"/>
        </w:numPr>
        <w:rPr>
          <w:rFonts w:ascii="Calibri" w:hAnsi="Calibri"/>
          <w:color w:val="000000" w:themeColor="text1"/>
        </w:rPr>
      </w:pPr>
      <w:r w:rsidRPr="000800C5">
        <w:rPr>
          <w:rFonts w:ascii="Calibri" w:hAnsi="Calibri" w:cs="Calibri"/>
        </w:rPr>
        <w:t>emergency health and mental health services;</w:t>
      </w:r>
    </w:p>
    <w:p w14:paraId="4A6EBBCB" w14:textId="2E722876" w:rsidR="00135394" w:rsidRPr="00135394" w:rsidRDefault="00135394">
      <w:pPr>
        <w:pStyle w:val="ListParagraph"/>
        <w:numPr>
          <w:ilvl w:val="3"/>
          <w:numId w:val="87"/>
        </w:numPr>
        <w:rPr>
          <w:rFonts w:ascii="Calibri" w:hAnsi="Calibri"/>
          <w:color w:val="000000" w:themeColor="text1"/>
        </w:rPr>
      </w:pPr>
      <w:r w:rsidRPr="000800C5">
        <w:rPr>
          <w:rFonts w:ascii="Calibri" w:hAnsi="Calibri" w:cs="Calibri"/>
        </w:rPr>
        <w:t>transportation;</w:t>
      </w:r>
    </w:p>
    <w:p w14:paraId="6C870E88" w14:textId="65A2E4B3" w:rsidR="00135394" w:rsidRPr="00135394" w:rsidRDefault="00135394">
      <w:pPr>
        <w:pStyle w:val="ListParagraph"/>
        <w:numPr>
          <w:ilvl w:val="3"/>
          <w:numId w:val="87"/>
        </w:numPr>
        <w:rPr>
          <w:rFonts w:ascii="Calibri" w:hAnsi="Calibri"/>
          <w:color w:val="000000" w:themeColor="text1"/>
        </w:rPr>
      </w:pPr>
      <w:r w:rsidRPr="000800C5">
        <w:rPr>
          <w:rFonts w:ascii="Calibri" w:hAnsi="Calibri" w:cs="Calibri"/>
        </w:rPr>
        <w:t>and provision of handwashing stations and portable bathrooms.</w:t>
      </w:r>
    </w:p>
    <w:p w14:paraId="352C9F97" w14:textId="21ED91AB" w:rsidR="00135394" w:rsidRPr="00135394" w:rsidRDefault="00135394">
      <w:pPr>
        <w:pStyle w:val="ListParagraph"/>
        <w:numPr>
          <w:ilvl w:val="0"/>
          <w:numId w:val="87"/>
        </w:numPr>
        <w:rPr>
          <w:rFonts w:ascii="Calibri" w:hAnsi="Calibri"/>
          <w:color w:val="000000" w:themeColor="text1"/>
        </w:rPr>
      </w:pPr>
      <w:r>
        <w:rPr>
          <w:rFonts w:ascii="Calibri" w:hAnsi="Calibri" w:cs="Calibri"/>
        </w:rPr>
        <w:t>Service Provision</w:t>
      </w:r>
    </w:p>
    <w:p w14:paraId="31FA0CBD" w14:textId="4A8CC598" w:rsidR="00135394" w:rsidRPr="00135394" w:rsidRDefault="00135394">
      <w:pPr>
        <w:pStyle w:val="ListParagraph"/>
        <w:numPr>
          <w:ilvl w:val="2"/>
          <w:numId w:val="87"/>
        </w:numPr>
        <w:rPr>
          <w:rFonts w:ascii="Calibri" w:hAnsi="Calibri"/>
          <w:color w:val="000000" w:themeColor="text1"/>
        </w:rPr>
      </w:pPr>
      <w:r w:rsidRPr="000800C5">
        <w:rPr>
          <w:rFonts w:ascii="Calibri" w:hAnsi="Calibri" w:cs="Calibri"/>
        </w:rPr>
        <w:t>Street outreach workers are often the initial point of contact, have the ability to maintain contact throughout the process, and connect individuals with mainstream resources and community-based services as needed. Street outreach services include:</w:t>
      </w:r>
    </w:p>
    <w:p w14:paraId="15853176" w14:textId="27326B56" w:rsidR="00135394" w:rsidRPr="00135394" w:rsidRDefault="00135394">
      <w:pPr>
        <w:pStyle w:val="ListParagraph"/>
        <w:numPr>
          <w:ilvl w:val="3"/>
          <w:numId w:val="87"/>
        </w:numPr>
        <w:rPr>
          <w:rFonts w:ascii="Calibri" w:hAnsi="Calibri"/>
          <w:color w:val="000000" w:themeColor="text1"/>
        </w:rPr>
      </w:pPr>
      <w:r w:rsidRPr="000800C5">
        <w:rPr>
          <w:rFonts w:ascii="Calibri" w:hAnsi="Calibri" w:cs="Calibri"/>
        </w:rPr>
        <w:t>Educating and training on the process of Coordinated Entry, how to perform the initial standardized assessment and how to make referrals.</w:t>
      </w:r>
    </w:p>
    <w:p w14:paraId="544C8B26" w14:textId="7C2DB13C" w:rsidR="00135394" w:rsidRPr="00135394" w:rsidRDefault="00135394">
      <w:pPr>
        <w:pStyle w:val="ListParagraph"/>
        <w:numPr>
          <w:ilvl w:val="3"/>
          <w:numId w:val="87"/>
        </w:numPr>
        <w:rPr>
          <w:rFonts w:ascii="Calibri" w:hAnsi="Calibri"/>
          <w:color w:val="000000" w:themeColor="text1"/>
        </w:rPr>
      </w:pPr>
      <w:r w:rsidRPr="000800C5">
        <w:rPr>
          <w:rFonts w:ascii="Calibri" w:hAnsi="Calibri" w:cs="Calibri"/>
        </w:rPr>
        <w:t>Maintaining contact and open communication regarding housing status and resources being utilized.</w:t>
      </w:r>
    </w:p>
    <w:p w14:paraId="7FF549DF" w14:textId="598BFA80" w:rsidR="00135394" w:rsidRPr="00135394" w:rsidRDefault="00135394">
      <w:pPr>
        <w:pStyle w:val="ListParagraph"/>
        <w:numPr>
          <w:ilvl w:val="3"/>
          <w:numId w:val="87"/>
        </w:numPr>
        <w:rPr>
          <w:rFonts w:ascii="Calibri" w:hAnsi="Calibri"/>
          <w:color w:val="000000" w:themeColor="text1"/>
        </w:rPr>
      </w:pPr>
      <w:r w:rsidRPr="000800C5">
        <w:rPr>
          <w:rFonts w:ascii="Calibri" w:hAnsi="Calibri" w:cs="Calibri"/>
        </w:rPr>
        <w:t>Providing assistance to those unsheltered who may be in need of additional supports.</w:t>
      </w:r>
    </w:p>
    <w:p w14:paraId="6A15DBD6" w14:textId="383328E2" w:rsidR="00135394" w:rsidRPr="00135394" w:rsidRDefault="00135394">
      <w:pPr>
        <w:pStyle w:val="ListParagraph"/>
        <w:numPr>
          <w:ilvl w:val="3"/>
          <w:numId w:val="87"/>
        </w:numPr>
        <w:rPr>
          <w:rFonts w:ascii="Calibri" w:hAnsi="Calibri"/>
          <w:color w:val="000000" w:themeColor="text1"/>
        </w:rPr>
      </w:pPr>
      <w:r w:rsidRPr="000800C5">
        <w:rPr>
          <w:rFonts w:ascii="Calibri" w:hAnsi="Calibri" w:cs="Calibri"/>
        </w:rPr>
        <w:t>Installation and maintenance of handwashing stations and portable bathrooms in outdoor locations for people experiencing unsheltered homelessness.</w:t>
      </w:r>
    </w:p>
    <w:p w14:paraId="211FBADB" w14:textId="77777777" w:rsidR="00135394" w:rsidRPr="00135394" w:rsidRDefault="00135394" w:rsidP="00135394">
      <w:pPr>
        <w:contextualSpacing/>
        <w:rPr>
          <w:rFonts w:ascii="Calibri" w:hAnsi="Calibri" w:cs="Calibri"/>
          <w:color w:val="000000" w:themeColor="text1"/>
        </w:rPr>
      </w:pPr>
    </w:p>
    <w:p w14:paraId="32FB45ED" w14:textId="328D4B09" w:rsidR="00D47164" w:rsidRDefault="00D47164" w:rsidP="00D47164">
      <w:pPr>
        <w:contextualSpacing/>
        <w:rPr>
          <w:rFonts w:ascii="Calibri" w:hAnsi="Calibri" w:cs="Calibri"/>
          <w:color w:val="000000" w:themeColor="text1"/>
        </w:rPr>
      </w:pPr>
    </w:p>
    <w:p w14:paraId="71847314" w14:textId="0EE048A8" w:rsidR="00135394" w:rsidRDefault="00135394" w:rsidP="00D47164">
      <w:pPr>
        <w:contextualSpacing/>
        <w:rPr>
          <w:rFonts w:ascii="Calibri" w:hAnsi="Calibri" w:cs="Calibri"/>
          <w:color w:val="000000" w:themeColor="text1"/>
        </w:rPr>
      </w:pPr>
    </w:p>
    <w:p w14:paraId="4D5020BF" w14:textId="16051B10" w:rsidR="00135394" w:rsidRDefault="00135394" w:rsidP="00D47164">
      <w:pPr>
        <w:contextualSpacing/>
        <w:rPr>
          <w:rFonts w:ascii="Calibri" w:hAnsi="Calibri" w:cs="Calibri"/>
          <w:color w:val="000000" w:themeColor="text1"/>
        </w:rPr>
      </w:pPr>
    </w:p>
    <w:p w14:paraId="00EB6B1B" w14:textId="77777777" w:rsidR="00135394" w:rsidRPr="000800C5" w:rsidRDefault="00135394" w:rsidP="00135394">
      <w:pPr>
        <w:rPr>
          <w:rFonts w:ascii="Calibri" w:hAnsi="Calibri" w:cs="Calibri"/>
          <w:color w:val="000000" w:themeColor="text1"/>
        </w:rPr>
      </w:pPr>
    </w:p>
    <w:p w14:paraId="1C7481C2" w14:textId="3CA2B17D" w:rsidR="00135394" w:rsidRDefault="00135394" w:rsidP="00D47164">
      <w:pPr>
        <w:contextualSpacing/>
        <w:rPr>
          <w:rFonts w:ascii="Calibri" w:hAnsi="Calibri" w:cs="Calibri"/>
          <w:color w:val="000000" w:themeColor="text1"/>
        </w:rPr>
      </w:pPr>
    </w:p>
    <w:p w14:paraId="487FE339" w14:textId="77777777" w:rsidR="00135394" w:rsidRDefault="00135394" w:rsidP="00D47164">
      <w:pPr>
        <w:contextualSpacing/>
        <w:rPr>
          <w:rFonts w:ascii="Calibri" w:hAnsi="Calibri" w:cs="Calibri"/>
          <w:color w:val="000000" w:themeColor="text1"/>
        </w:rPr>
      </w:pPr>
    </w:p>
    <w:p w14:paraId="72BB21DC" w14:textId="77777777" w:rsidR="00D47164" w:rsidRPr="00A76818" w:rsidRDefault="00D47164" w:rsidP="000604EE">
      <w:pPr>
        <w:contextualSpacing/>
        <w:rPr>
          <w:rFonts w:ascii="Calibri" w:hAnsi="Calibri" w:cs="Calibri"/>
          <w:color w:val="000000" w:themeColor="text1"/>
        </w:rPr>
      </w:pPr>
    </w:p>
    <w:p w14:paraId="55DD1140" w14:textId="77777777" w:rsidR="00BF1A00" w:rsidRDefault="00BF1A00">
      <w:pPr>
        <w:spacing w:after="200" w:line="276" w:lineRule="auto"/>
        <w:rPr>
          <w:rFonts w:ascii="Calibri" w:hAnsi="Calibri" w:cs="Calibri"/>
          <w:color w:val="000000" w:themeColor="text1"/>
        </w:rPr>
      </w:pPr>
      <w:r>
        <w:rPr>
          <w:rFonts w:ascii="Calibri" w:hAnsi="Calibri" w:cs="Calibri"/>
          <w:color w:val="000000" w:themeColor="text1"/>
        </w:rPr>
        <w:br w:type="page"/>
      </w:r>
    </w:p>
    <w:p w14:paraId="1CEBA92E" w14:textId="30FBD5D8" w:rsidR="00BF1A00" w:rsidRPr="0061434B" w:rsidRDefault="00BF1A00" w:rsidP="00BF1A00">
      <w:pPr>
        <w:pStyle w:val="Heading1"/>
        <w:rPr>
          <w:b/>
          <w:bCs/>
          <w:color w:val="0070C0"/>
        </w:rPr>
      </w:pPr>
      <w:bookmarkStart w:id="173" w:name="_Toc124255080"/>
      <w:r w:rsidRPr="0061434B">
        <w:rPr>
          <w:b/>
          <w:bCs/>
          <w:color w:val="0070C0"/>
        </w:rPr>
        <w:lastRenderedPageBreak/>
        <w:t>Standards for Transitional Housing</w:t>
      </w:r>
      <w:bookmarkEnd w:id="173"/>
      <w:r w:rsidRPr="0061434B">
        <w:rPr>
          <w:b/>
          <w:bCs/>
          <w:color w:val="0070C0"/>
        </w:rPr>
        <w:t xml:space="preserve"> </w:t>
      </w:r>
    </w:p>
    <w:p w14:paraId="17C616E4" w14:textId="77777777" w:rsidR="00BF1A00" w:rsidRPr="0061434B" w:rsidRDefault="00BF1A00">
      <w:pPr>
        <w:pStyle w:val="Heading2"/>
        <w:numPr>
          <w:ilvl w:val="0"/>
          <w:numId w:val="79"/>
        </w:numPr>
        <w:spacing w:before="0" w:line="240" w:lineRule="auto"/>
        <w:contextualSpacing/>
        <w:rPr>
          <w:color w:val="0070C0"/>
        </w:rPr>
      </w:pPr>
      <w:bookmarkStart w:id="174" w:name="_Toc124255081"/>
      <w:r w:rsidRPr="0061434B">
        <w:rPr>
          <w:color w:val="0070C0"/>
        </w:rPr>
        <w:t>Introduction</w:t>
      </w:r>
      <w:bookmarkEnd w:id="174"/>
      <w:r w:rsidRPr="0061434B">
        <w:rPr>
          <w:color w:val="0070C0"/>
        </w:rPr>
        <w:t xml:space="preserve"> </w:t>
      </w:r>
    </w:p>
    <w:p w14:paraId="2B5AB071" w14:textId="2CE38AE0" w:rsidR="003E2AD2" w:rsidRPr="003E2AD2" w:rsidRDefault="003E2AD2">
      <w:pPr>
        <w:pStyle w:val="ListParagraph"/>
        <w:numPr>
          <w:ilvl w:val="0"/>
          <w:numId w:val="80"/>
        </w:numPr>
        <w:rPr>
          <w:rFonts w:ascii="Calibri" w:hAnsi="Calibri"/>
          <w:color w:val="000000" w:themeColor="text1"/>
        </w:rPr>
      </w:pPr>
      <w:r w:rsidRPr="003E2AD2">
        <w:rPr>
          <w:rFonts w:ascii="Calibri" w:hAnsi="Calibri" w:cs="Calibri"/>
          <w:i/>
          <w:iCs/>
          <w:color w:val="000000" w:themeColor="text1"/>
        </w:rPr>
        <w:t>Currently, the CSCoC does not fund transitional housing due to HUD’s priority for PSH and RRH units. The Written Standards for Transitional Housing are included to guide the development of future transitional housing projects from diverse funding sources and preserve the robust local standards around transitional housing</w:t>
      </w:r>
    </w:p>
    <w:p w14:paraId="2568DFC1" w14:textId="7F0C4749" w:rsidR="00BF1A00" w:rsidRPr="003E2AD2" w:rsidRDefault="003E2AD2">
      <w:pPr>
        <w:pStyle w:val="ListParagraph"/>
        <w:numPr>
          <w:ilvl w:val="0"/>
          <w:numId w:val="80"/>
        </w:numPr>
        <w:rPr>
          <w:rFonts w:ascii="Calibri" w:hAnsi="Calibri"/>
          <w:color w:val="000000" w:themeColor="text1"/>
        </w:rPr>
      </w:pPr>
      <w:r w:rsidRPr="003E2AD2">
        <w:rPr>
          <w:rFonts w:ascii="Calibri" w:hAnsi="Calibri" w:cs="Calibri"/>
          <w:color w:val="000000" w:themeColor="text1"/>
        </w:rPr>
        <w:t xml:space="preserve">Transitional housing (TH) is designed to </w:t>
      </w:r>
      <w:r w:rsidR="00B74C5E">
        <w:rPr>
          <w:rFonts w:ascii="Calibri" w:hAnsi="Calibri" w:cs="Calibri"/>
          <w:color w:val="000000" w:themeColor="text1"/>
        </w:rPr>
        <w:t xml:space="preserve">assist </w:t>
      </w:r>
      <w:r w:rsidRPr="003E2AD2">
        <w:rPr>
          <w:rFonts w:ascii="Calibri" w:hAnsi="Calibri" w:cs="Calibri"/>
          <w:color w:val="000000" w:themeColor="text1"/>
        </w:rPr>
        <w:t>households with the interim stability and support to successfully move to and maintain permanent housing.</w:t>
      </w:r>
    </w:p>
    <w:p w14:paraId="54A82316" w14:textId="77777777" w:rsidR="00BF1A00" w:rsidRPr="00A76818" w:rsidRDefault="00BF1A00" w:rsidP="00BF1A00">
      <w:pPr>
        <w:contextualSpacing/>
        <w:rPr>
          <w:rFonts w:ascii="Calibri" w:hAnsi="Calibri" w:cs="Calibri"/>
          <w:color w:val="000000" w:themeColor="text1"/>
        </w:rPr>
      </w:pPr>
    </w:p>
    <w:p w14:paraId="5156E273" w14:textId="77777777" w:rsidR="00BF1A00" w:rsidRPr="0061434B" w:rsidRDefault="00BF1A00">
      <w:pPr>
        <w:pStyle w:val="Heading2"/>
        <w:numPr>
          <w:ilvl w:val="0"/>
          <w:numId w:val="79"/>
        </w:numPr>
        <w:spacing w:before="0" w:line="240" w:lineRule="auto"/>
        <w:contextualSpacing/>
        <w:rPr>
          <w:color w:val="0070C0"/>
        </w:rPr>
      </w:pPr>
      <w:bookmarkStart w:id="175" w:name="_Toc124255082"/>
      <w:r w:rsidRPr="0061434B">
        <w:rPr>
          <w:color w:val="0070C0"/>
        </w:rPr>
        <w:t>Eligibility</w:t>
      </w:r>
      <w:bookmarkEnd w:id="175"/>
      <w:r w:rsidRPr="0061434B">
        <w:rPr>
          <w:color w:val="0070C0"/>
        </w:rPr>
        <w:t xml:space="preserve"> </w:t>
      </w:r>
    </w:p>
    <w:p w14:paraId="0D3A3F5B" w14:textId="7C9E52E9" w:rsidR="00BF1A00" w:rsidRPr="003E2AD2" w:rsidRDefault="003E2AD2">
      <w:pPr>
        <w:pStyle w:val="ListParagraph"/>
        <w:numPr>
          <w:ilvl w:val="0"/>
          <w:numId w:val="81"/>
        </w:numPr>
        <w:rPr>
          <w:rFonts w:ascii="Calibri" w:hAnsi="Calibri"/>
          <w:color w:val="000000" w:themeColor="text1"/>
        </w:rPr>
      </w:pPr>
      <w:r w:rsidRPr="003E2AD2">
        <w:rPr>
          <w:rFonts w:ascii="Calibri" w:hAnsi="Calibri" w:cs="Calibri"/>
          <w:color w:val="000000" w:themeColor="text1"/>
        </w:rPr>
        <w:t>At a minimum, households accessing transitional housing must be literally homeless, at imminent risk of homelessness, or fleeing/attempting to flee domestic violence.</w:t>
      </w:r>
      <w:r w:rsidR="00BF1A00" w:rsidRPr="003E2AD2">
        <w:rPr>
          <w:rFonts w:ascii="Calibri" w:hAnsi="Calibri"/>
          <w:color w:val="000000" w:themeColor="text1"/>
        </w:rPr>
        <w:t xml:space="preserve"> </w:t>
      </w:r>
    </w:p>
    <w:p w14:paraId="0E9D36EA" w14:textId="77777777" w:rsidR="00BF1A00" w:rsidRPr="003E2AD2" w:rsidRDefault="00BF1A00">
      <w:pPr>
        <w:pStyle w:val="ListParagraph"/>
        <w:numPr>
          <w:ilvl w:val="2"/>
          <w:numId w:val="81"/>
        </w:numPr>
        <w:rPr>
          <w:rFonts w:ascii="Calibri" w:hAnsi="Calibri"/>
          <w:color w:val="000000" w:themeColor="text1"/>
        </w:rPr>
      </w:pPr>
      <w:r w:rsidRPr="003E2AD2">
        <w:rPr>
          <w:rFonts w:ascii="Calibri" w:hAnsi="Calibri"/>
          <w:color w:val="000000" w:themeColor="text1"/>
        </w:rPr>
        <w:t xml:space="preserve">See Appendix E: HUD Definitions of Homelessness (pg. 46) for more information about homelessness definitions. </w:t>
      </w:r>
    </w:p>
    <w:p w14:paraId="405072F8" w14:textId="1517AAA4" w:rsidR="00BF1A00" w:rsidRPr="003E2AD2" w:rsidRDefault="00BF1A00">
      <w:pPr>
        <w:pStyle w:val="ListParagraph"/>
        <w:numPr>
          <w:ilvl w:val="2"/>
          <w:numId w:val="81"/>
        </w:numPr>
        <w:rPr>
          <w:rFonts w:ascii="Calibri" w:hAnsi="Calibri"/>
          <w:color w:val="000000" w:themeColor="text1"/>
        </w:rPr>
      </w:pPr>
      <w:r w:rsidRPr="003E2AD2">
        <w:rPr>
          <w:rFonts w:ascii="Calibri" w:hAnsi="Calibri"/>
          <w:color w:val="000000" w:themeColor="text1"/>
        </w:rPr>
        <w:t xml:space="preserve">Please see Appendix F: HUD Record Keeping Requirement (pg. 47) for more information on how to properly document </w:t>
      </w:r>
      <w:r w:rsidR="003E2AD2" w:rsidRPr="003E2AD2">
        <w:rPr>
          <w:rFonts w:ascii="Calibri" w:hAnsi="Calibri"/>
          <w:color w:val="000000" w:themeColor="text1"/>
        </w:rPr>
        <w:t>eligibility for transitional housing programs.</w:t>
      </w:r>
      <w:r w:rsidRPr="003E2AD2">
        <w:rPr>
          <w:rFonts w:ascii="Calibri" w:hAnsi="Calibri"/>
          <w:color w:val="000000" w:themeColor="text1"/>
        </w:rPr>
        <w:t xml:space="preserve"> </w:t>
      </w:r>
    </w:p>
    <w:p w14:paraId="69576444" w14:textId="77777777" w:rsidR="00BF1A00" w:rsidRPr="003E2AD2" w:rsidRDefault="00BF1A00" w:rsidP="00BF1A00">
      <w:pPr>
        <w:pStyle w:val="ListParagraph"/>
        <w:ind w:left="1440"/>
        <w:rPr>
          <w:rFonts w:ascii="Calibri" w:hAnsi="Calibri"/>
          <w:color w:val="000000" w:themeColor="text1"/>
          <w:sz w:val="20"/>
          <w:szCs w:val="21"/>
        </w:rPr>
      </w:pPr>
    </w:p>
    <w:p w14:paraId="58AE6C2E" w14:textId="77777777" w:rsidR="00BF1A00" w:rsidRPr="0061434B" w:rsidRDefault="00BF1A00">
      <w:pPr>
        <w:pStyle w:val="Heading2"/>
        <w:numPr>
          <w:ilvl w:val="0"/>
          <w:numId w:val="79"/>
        </w:numPr>
        <w:spacing w:before="0" w:line="240" w:lineRule="auto"/>
        <w:contextualSpacing/>
        <w:rPr>
          <w:color w:val="0070C0"/>
        </w:rPr>
      </w:pPr>
      <w:bookmarkStart w:id="176" w:name="_Toc124255083"/>
      <w:r w:rsidRPr="0061434B">
        <w:rPr>
          <w:color w:val="0070C0"/>
        </w:rPr>
        <w:t>Prioritization</w:t>
      </w:r>
      <w:bookmarkEnd w:id="176"/>
      <w:r w:rsidRPr="0061434B">
        <w:rPr>
          <w:color w:val="0070C0"/>
        </w:rPr>
        <w:t xml:space="preserve"> </w:t>
      </w:r>
    </w:p>
    <w:p w14:paraId="6CF3AD56" w14:textId="77777777" w:rsidR="003E2AD2" w:rsidRPr="003E2AD2" w:rsidRDefault="003E2AD2">
      <w:pPr>
        <w:pStyle w:val="ListParagraph"/>
        <w:numPr>
          <w:ilvl w:val="0"/>
          <w:numId w:val="82"/>
        </w:numPr>
        <w:rPr>
          <w:rFonts w:ascii="Calibri" w:hAnsi="Calibri"/>
          <w:color w:val="000000" w:themeColor="text1"/>
        </w:rPr>
      </w:pPr>
      <w:r w:rsidRPr="003E2AD2">
        <w:rPr>
          <w:rFonts w:ascii="Calibri" w:hAnsi="Calibri" w:cs="Calibri"/>
          <w:color w:val="000000" w:themeColor="text1"/>
        </w:rPr>
        <w:t xml:space="preserve">All service providers will use the coordinated entry process to prioritize households within the CSCoC geographic service area for access to housing and supportive services </w:t>
      </w:r>
    </w:p>
    <w:p w14:paraId="3678F4A2" w14:textId="39CF9E2B" w:rsidR="00BF1A00" w:rsidRPr="003E2AD2" w:rsidRDefault="003E2AD2">
      <w:pPr>
        <w:pStyle w:val="ListParagraph"/>
        <w:numPr>
          <w:ilvl w:val="2"/>
          <w:numId w:val="82"/>
        </w:numPr>
        <w:rPr>
          <w:rFonts w:ascii="Calibri" w:hAnsi="Calibri"/>
          <w:color w:val="000000" w:themeColor="text1"/>
        </w:rPr>
      </w:pPr>
      <w:r w:rsidRPr="003E2AD2">
        <w:rPr>
          <w:rFonts w:ascii="Calibri" w:hAnsi="Calibri" w:cs="Calibri"/>
          <w:color w:val="000000" w:themeColor="text1"/>
        </w:rPr>
        <w:t>Households accessing TH will be prioritized based on their level of vulnerability as assessed by the modified VI-SPDAT.</w:t>
      </w:r>
    </w:p>
    <w:p w14:paraId="14E638BF" w14:textId="172D399F" w:rsidR="00483991" w:rsidRPr="003E2AD2" w:rsidRDefault="00483991" w:rsidP="000604EE">
      <w:pPr>
        <w:contextualSpacing/>
        <w:rPr>
          <w:rFonts w:ascii="Calibri" w:hAnsi="Calibri" w:cs="Calibri"/>
          <w:color w:val="000000" w:themeColor="text1"/>
        </w:rPr>
      </w:pPr>
    </w:p>
    <w:p w14:paraId="1F4BAB84" w14:textId="2755905E" w:rsidR="003E2AD2" w:rsidRPr="0061434B" w:rsidRDefault="003E2AD2">
      <w:pPr>
        <w:pStyle w:val="Heading2"/>
        <w:numPr>
          <w:ilvl w:val="0"/>
          <w:numId w:val="79"/>
        </w:numPr>
        <w:spacing w:before="0" w:line="240" w:lineRule="auto"/>
        <w:contextualSpacing/>
        <w:rPr>
          <w:color w:val="0070C0"/>
        </w:rPr>
      </w:pPr>
      <w:bookmarkStart w:id="177" w:name="_Toc124255084"/>
      <w:r w:rsidRPr="0061434B">
        <w:rPr>
          <w:color w:val="0070C0"/>
        </w:rPr>
        <w:t>Housing Requirements</w:t>
      </w:r>
      <w:bookmarkEnd w:id="177"/>
    </w:p>
    <w:p w14:paraId="34FFAC1D" w14:textId="2D7F4A33" w:rsidR="003E2AD2" w:rsidRPr="003E2AD2" w:rsidRDefault="003E2AD2">
      <w:pPr>
        <w:pStyle w:val="ListParagraph"/>
        <w:numPr>
          <w:ilvl w:val="0"/>
          <w:numId w:val="83"/>
        </w:numPr>
        <w:rPr>
          <w:rFonts w:ascii="Calibri" w:hAnsi="Calibri"/>
          <w:color w:val="000000" w:themeColor="text1"/>
        </w:rPr>
      </w:pPr>
      <w:r w:rsidRPr="003E2AD2">
        <w:rPr>
          <w:rFonts w:ascii="Calibri" w:hAnsi="Calibri" w:cs="Calibri"/>
          <w:color w:val="000000" w:themeColor="text1"/>
        </w:rPr>
        <w:t xml:space="preserve">Household Contribution </w:t>
      </w:r>
    </w:p>
    <w:p w14:paraId="074E61F2" w14:textId="6E2A072F" w:rsidR="003E2AD2" w:rsidRPr="003E2AD2" w:rsidRDefault="003E2AD2">
      <w:pPr>
        <w:pStyle w:val="ListParagraph"/>
        <w:numPr>
          <w:ilvl w:val="2"/>
          <w:numId w:val="83"/>
        </w:numPr>
        <w:rPr>
          <w:rFonts w:ascii="Calibri" w:hAnsi="Calibri"/>
          <w:color w:val="000000" w:themeColor="text1"/>
        </w:rPr>
      </w:pPr>
      <w:r w:rsidRPr="003E2AD2">
        <w:rPr>
          <w:rFonts w:ascii="Calibri" w:hAnsi="Calibri" w:cs="Calibri"/>
          <w:color w:val="000000" w:themeColor="text1"/>
        </w:rPr>
        <w:t>Households will pay no more than 30% of their income towards rent with the remaining balance to be paid by the program fund.</w:t>
      </w:r>
    </w:p>
    <w:p w14:paraId="5D6287AA" w14:textId="60AD9CC0" w:rsidR="003E2AD2" w:rsidRPr="003E2AD2" w:rsidRDefault="003E2AD2">
      <w:pPr>
        <w:pStyle w:val="ListParagraph"/>
        <w:numPr>
          <w:ilvl w:val="0"/>
          <w:numId w:val="83"/>
        </w:numPr>
        <w:rPr>
          <w:rFonts w:ascii="Calibri" w:hAnsi="Calibri"/>
          <w:color w:val="000000" w:themeColor="text1"/>
        </w:rPr>
      </w:pPr>
      <w:r w:rsidRPr="003E2AD2">
        <w:rPr>
          <w:rFonts w:ascii="Calibri" w:hAnsi="Calibri" w:cs="Calibri"/>
          <w:color w:val="000000" w:themeColor="text1"/>
        </w:rPr>
        <w:t>Household Requirements</w:t>
      </w:r>
    </w:p>
    <w:p w14:paraId="7F635A0C" w14:textId="5BC5BC62" w:rsidR="003E2AD2" w:rsidRPr="003E2AD2" w:rsidRDefault="003E2AD2">
      <w:pPr>
        <w:pStyle w:val="ListParagraph"/>
        <w:numPr>
          <w:ilvl w:val="2"/>
          <w:numId w:val="83"/>
        </w:numPr>
        <w:rPr>
          <w:rFonts w:ascii="Calibri" w:hAnsi="Calibri"/>
          <w:color w:val="000000" w:themeColor="text1"/>
        </w:rPr>
      </w:pPr>
      <w:r w:rsidRPr="003E2AD2">
        <w:rPr>
          <w:rFonts w:ascii="Calibri" w:hAnsi="Calibri" w:cs="Calibri"/>
          <w:color w:val="000000" w:themeColor="text1"/>
        </w:rPr>
        <w:t>Households in transitional housing must enter into a lease agreement on a month to month basis with a minimum of one-month lease upon entry.</w:t>
      </w:r>
    </w:p>
    <w:p w14:paraId="4BD8D8D0" w14:textId="38A10FE6" w:rsidR="003E2AD2" w:rsidRPr="003E2AD2" w:rsidRDefault="003E2AD2">
      <w:pPr>
        <w:pStyle w:val="ListParagraph"/>
        <w:numPr>
          <w:ilvl w:val="2"/>
          <w:numId w:val="83"/>
        </w:numPr>
        <w:rPr>
          <w:rFonts w:ascii="Calibri" w:hAnsi="Calibri"/>
          <w:color w:val="000000" w:themeColor="text1"/>
        </w:rPr>
      </w:pPr>
      <w:r w:rsidRPr="003E2AD2">
        <w:rPr>
          <w:rFonts w:ascii="Calibri" w:hAnsi="Calibri" w:cs="Calibri"/>
          <w:color w:val="000000" w:themeColor="text1"/>
        </w:rPr>
        <w:t>Transitional dwelling units are for full time occupancy only.</w:t>
      </w:r>
    </w:p>
    <w:p w14:paraId="15EBAB72" w14:textId="15B508A5" w:rsidR="003E2AD2" w:rsidRPr="003E2AD2" w:rsidRDefault="003E2AD2">
      <w:pPr>
        <w:pStyle w:val="ListParagraph"/>
        <w:numPr>
          <w:ilvl w:val="2"/>
          <w:numId w:val="83"/>
        </w:numPr>
        <w:rPr>
          <w:rFonts w:ascii="Calibri" w:hAnsi="Calibri"/>
          <w:color w:val="000000" w:themeColor="text1"/>
        </w:rPr>
      </w:pPr>
      <w:r w:rsidRPr="003E2AD2">
        <w:rPr>
          <w:rFonts w:ascii="Calibri" w:hAnsi="Calibri" w:cs="Calibri"/>
          <w:color w:val="000000" w:themeColor="text1"/>
        </w:rPr>
        <w:t xml:space="preserve">Only members of a household with a signed agreement can dwell within the unit. If there are extenuating circumstances, the household’s point of contact at the service provider must be notified as soon as possible. </w:t>
      </w:r>
      <w:r w:rsidRPr="003E2AD2">
        <w:rPr>
          <w:rFonts w:ascii="Calibri" w:hAnsi="Calibri" w:cs="Calibri"/>
          <w:color w:val="000000" w:themeColor="text1"/>
        </w:rPr>
        <w:lastRenderedPageBreak/>
        <w:t>The service provider must then provide written approval verifying that an individual outside of the household may dwell within the unit.</w:t>
      </w:r>
    </w:p>
    <w:p w14:paraId="5D194F6C" w14:textId="338BFC2C" w:rsidR="003E2AD2" w:rsidRPr="003E2AD2" w:rsidRDefault="003E2AD2">
      <w:pPr>
        <w:pStyle w:val="ListParagraph"/>
        <w:numPr>
          <w:ilvl w:val="2"/>
          <w:numId w:val="83"/>
        </w:numPr>
        <w:rPr>
          <w:rFonts w:ascii="Calibri" w:hAnsi="Calibri"/>
          <w:color w:val="000000" w:themeColor="text1"/>
        </w:rPr>
      </w:pPr>
      <w:r w:rsidRPr="003E2AD2">
        <w:rPr>
          <w:rFonts w:ascii="Calibri" w:hAnsi="Calibri" w:cs="Calibri"/>
          <w:color w:val="000000" w:themeColor="text1"/>
        </w:rPr>
        <w:t>If a member of the household is under medical or psychiatric care and have been prescribed medication, that member must be taking medication as prescribed.</w:t>
      </w:r>
    </w:p>
    <w:p w14:paraId="1C55EC4B" w14:textId="19261DF2" w:rsidR="003E2AD2" w:rsidRPr="003E2AD2" w:rsidRDefault="003E2AD2">
      <w:pPr>
        <w:pStyle w:val="ListParagraph"/>
        <w:numPr>
          <w:ilvl w:val="2"/>
          <w:numId w:val="83"/>
        </w:numPr>
        <w:rPr>
          <w:rFonts w:ascii="Calibri" w:hAnsi="Calibri"/>
          <w:color w:val="000000" w:themeColor="text1"/>
        </w:rPr>
      </w:pPr>
      <w:r w:rsidRPr="003E2AD2">
        <w:rPr>
          <w:rFonts w:ascii="Calibri" w:hAnsi="Calibri" w:cs="Calibri"/>
          <w:color w:val="000000" w:themeColor="text1"/>
        </w:rPr>
        <w:t>Members of the household cannot ingest alcohol or illegal drugs on the premises.</w:t>
      </w:r>
    </w:p>
    <w:p w14:paraId="66577C7E" w14:textId="5DDB4FC4" w:rsidR="003E2AD2" w:rsidRPr="003E2AD2" w:rsidRDefault="003E2AD2">
      <w:pPr>
        <w:pStyle w:val="ListParagraph"/>
        <w:numPr>
          <w:ilvl w:val="2"/>
          <w:numId w:val="83"/>
        </w:numPr>
        <w:rPr>
          <w:rFonts w:ascii="Calibri" w:hAnsi="Calibri"/>
          <w:color w:val="000000" w:themeColor="text1"/>
        </w:rPr>
      </w:pPr>
      <w:r w:rsidRPr="003E2AD2">
        <w:rPr>
          <w:rFonts w:ascii="Calibri" w:hAnsi="Calibri" w:cs="Calibri"/>
          <w:color w:val="000000" w:themeColor="text1"/>
        </w:rPr>
        <w:t>Members of the household cannot be in possession of weapons on the premises.</w:t>
      </w:r>
    </w:p>
    <w:p w14:paraId="418FFE53" w14:textId="7D5EA1CB" w:rsidR="003E2AD2" w:rsidRPr="003E2AD2" w:rsidRDefault="003E2AD2">
      <w:pPr>
        <w:pStyle w:val="ListParagraph"/>
        <w:numPr>
          <w:ilvl w:val="2"/>
          <w:numId w:val="83"/>
        </w:numPr>
        <w:rPr>
          <w:rFonts w:ascii="Calibri" w:hAnsi="Calibri"/>
          <w:color w:val="000000" w:themeColor="text1"/>
        </w:rPr>
      </w:pPr>
      <w:r w:rsidRPr="003E2AD2">
        <w:rPr>
          <w:rFonts w:ascii="Calibri" w:hAnsi="Calibri" w:cs="Calibri"/>
          <w:color w:val="000000" w:themeColor="text1"/>
        </w:rPr>
        <w:t>Dwelling unit must be kept neat and orderly, and the exterior of the house must be maintained free of trash and debris, especially cigarette butts. All decks and porches must be clear and free of furniture, clothing or other debris.</w:t>
      </w:r>
    </w:p>
    <w:p w14:paraId="3271DDC9" w14:textId="5158A1FA" w:rsidR="003E2AD2" w:rsidRPr="003E2AD2" w:rsidRDefault="003E2AD2">
      <w:pPr>
        <w:pStyle w:val="ListParagraph"/>
        <w:numPr>
          <w:ilvl w:val="2"/>
          <w:numId w:val="83"/>
        </w:numPr>
        <w:rPr>
          <w:rFonts w:ascii="Calibri" w:hAnsi="Calibri"/>
          <w:color w:val="000000" w:themeColor="text1"/>
        </w:rPr>
      </w:pPr>
      <w:r w:rsidRPr="003E2AD2">
        <w:rPr>
          <w:rFonts w:ascii="Calibri" w:hAnsi="Calibri" w:cs="Calibri"/>
          <w:color w:val="000000" w:themeColor="text1"/>
        </w:rPr>
        <w:t>Members of the household may not bring or keep non-operative vehicles on the premises.</w:t>
      </w:r>
    </w:p>
    <w:p w14:paraId="504AD3E1" w14:textId="2AFBE844" w:rsidR="003E2AD2" w:rsidRPr="003E2AD2" w:rsidRDefault="003E2AD2">
      <w:pPr>
        <w:pStyle w:val="ListParagraph"/>
        <w:numPr>
          <w:ilvl w:val="2"/>
          <w:numId w:val="83"/>
        </w:numPr>
        <w:rPr>
          <w:rFonts w:ascii="Calibri" w:hAnsi="Calibri"/>
          <w:color w:val="000000" w:themeColor="text1"/>
        </w:rPr>
      </w:pPr>
      <w:r w:rsidRPr="003E2AD2">
        <w:rPr>
          <w:rFonts w:ascii="Calibri" w:hAnsi="Calibri" w:cs="Calibri"/>
          <w:color w:val="000000" w:themeColor="text1"/>
        </w:rPr>
        <w:t>Members of the household on probation, or other court-ordered programs, must comply with the terms and conditions of those programs.</w:t>
      </w:r>
    </w:p>
    <w:p w14:paraId="1D0A389F" w14:textId="4C62049A" w:rsidR="003E2AD2" w:rsidRPr="003E2AD2" w:rsidRDefault="003E2AD2">
      <w:pPr>
        <w:pStyle w:val="ListParagraph"/>
        <w:numPr>
          <w:ilvl w:val="0"/>
          <w:numId w:val="83"/>
        </w:numPr>
        <w:rPr>
          <w:rFonts w:ascii="Calibri" w:hAnsi="Calibri"/>
          <w:color w:val="000000" w:themeColor="text1"/>
        </w:rPr>
      </w:pPr>
      <w:r w:rsidRPr="003E2AD2">
        <w:rPr>
          <w:rFonts w:ascii="Calibri" w:hAnsi="Calibri" w:cs="Calibri"/>
          <w:color w:val="000000" w:themeColor="text1"/>
        </w:rPr>
        <w:t>Inspection Requirements</w:t>
      </w:r>
    </w:p>
    <w:p w14:paraId="67576AEC" w14:textId="0BB2D086" w:rsidR="003E2AD2" w:rsidRPr="003E2AD2" w:rsidRDefault="003E2AD2">
      <w:pPr>
        <w:pStyle w:val="ListParagraph"/>
        <w:numPr>
          <w:ilvl w:val="2"/>
          <w:numId w:val="83"/>
        </w:numPr>
        <w:rPr>
          <w:rFonts w:ascii="Calibri" w:hAnsi="Calibri"/>
          <w:color w:val="000000" w:themeColor="text1"/>
        </w:rPr>
      </w:pPr>
      <w:r w:rsidRPr="003E2AD2">
        <w:rPr>
          <w:rFonts w:ascii="Calibri" w:hAnsi="Calibri" w:cs="Calibri"/>
          <w:color w:val="000000" w:themeColor="text1"/>
        </w:rPr>
        <w:t>All CoC-housing, including transitional housing, must meet applicable housing quality standards (HQS) under 24 CFR § 578.75(b). HQS requirements are contained within 24 CFR § 982.401, which state the performance and acceptability criteria for the key aspects of housing quality listed in Table 11.1.</w:t>
      </w:r>
    </w:p>
    <w:p w14:paraId="65F65648" w14:textId="6C14E361" w:rsidR="003E2AD2" w:rsidRPr="003E2AD2" w:rsidRDefault="003E2AD2">
      <w:pPr>
        <w:pStyle w:val="ListParagraph"/>
        <w:numPr>
          <w:ilvl w:val="2"/>
          <w:numId w:val="83"/>
        </w:numPr>
        <w:rPr>
          <w:rFonts w:ascii="Calibri" w:hAnsi="Calibri"/>
          <w:color w:val="000000" w:themeColor="text1"/>
        </w:rPr>
      </w:pPr>
      <w:r w:rsidRPr="003E2AD2">
        <w:rPr>
          <w:rFonts w:ascii="Calibri" w:hAnsi="Calibri" w:cs="Calibri"/>
          <w:color w:val="000000" w:themeColor="text1"/>
        </w:rPr>
        <w:t>All TH units must also comply with the “Housing Requirements” (pg. 9-13).</w:t>
      </w:r>
    </w:p>
    <w:p w14:paraId="7863EB75" w14:textId="364AD6EB" w:rsidR="003E2AD2" w:rsidRPr="003E2AD2" w:rsidRDefault="003E2AD2">
      <w:pPr>
        <w:pStyle w:val="ListParagraph"/>
        <w:numPr>
          <w:ilvl w:val="0"/>
          <w:numId w:val="83"/>
        </w:numPr>
        <w:rPr>
          <w:rFonts w:ascii="Calibri" w:hAnsi="Calibri"/>
          <w:color w:val="000000" w:themeColor="text1"/>
        </w:rPr>
      </w:pPr>
      <w:r w:rsidRPr="003E2AD2">
        <w:rPr>
          <w:rFonts w:ascii="Calibri" w:hAnsi="Calibri" w:cs="Calibri"/>
          <w:color w:val="000000" w:themeColor="text1"/>
        </w:rPr>
        <w:t>Leasing Requirements</w:t>
      </w:r>
    </w:p>
    <w:p w14:paraId="7023D01B" w14:textId="7CBD596C" w:rsidR="003E2AD2" w:rsidRPr="003E2AD2" w:rsidRDefault="003E2AD2">
      <w:pPr>
        <w:pStyle w:val="ListParagraph"/>
        <w:numPr>
          <w:ilvl w:val="2"/>
          <w:numId w:val="83"/>
        </w:numPr>
        <w:rPr>
          <w:rFonts w:ascii="Calibri" w:hAnsi="Calibri"/>
          <w:color w:val="000000" w:themeColor="text1"/>
        </w:rPr>
      </w:pPr>
      <w:r w:rsidRPr="003E2AD2">
        <w:rPr>
          <w:rFonts w:ascii="Calibri" w:hAnsi="Calibri" w:cs="Calibri"/>
          <w:color w:val="000000" w:themeColor="text1"/>
        </w:rPr>
        <w:t>Specifics</w:t>
      </w:r>
    </w:p>
    <w:p w14:paraId="071C7023" w14:textId="7C3FC682" w:rsidR="003E2AD2" w:rsidRPr="003E2AD2" w:rsidRDefault="003E2AD2">
      <w:pPr>
        <w:pStyle w:val="ListParagraph"/>
        <w:numPr>
          <w:ilvl w:val="3"/>
          <w:numId w:val="83"/>
        </w:numPr>
        <w:rPr>
          <w:rFonts w:ascii="Calibri" w:hAnsi="Calibri"/>
          <w:color w:val="000000" w:themeColor="text1"/>
        </w:rPr>
      </w:pPr>
      <w:r w:rsidRPr="003E2AD2">
        <w:rPr>
          <w:rFonts w:ascii="Calibri" w:hAnsi="Calibri" w:cs="Calibri"/>
          <w:color w:val="000000" w:themeColor="text1"/>
        </w:rPr>
        <w:t>Where utilities are included in the rent amount, utilities (electricity, gas, water) are considered a leasing cost.</w:t>
      </w:r>
    </w:p>
    <w:p w14:paraId="35AF6A8E" w14:textId="5411C85A" w:rsidR="003E2AD2" w:rsidRPr="003E2AD2" w:rsidRDefault="003E2AD2">
      <w:pPr>
        <w:pStyle w:val="ListParagraph"/>
        <w:numPr>
          <w:ilvl w:val="3"/>
          <w:numId w:val="83"/>
        </w:numPr>
        <w:rPr>
          <w:rFonts w:ascii="Calibri" w:hAnsi="Calibri"/>
          <w:color w:val="000000" w:themeColor="text1"/>
        </w:rPr>
      </w:pPr>
      <w:r w:rsidRPr="003E2AD2">
        <w:rPr>
          <w:rFonts w:ascii="Calibri" w:hAnsi="Calibri" w:cs="Calibri"/>
          <w:color w:val="000000" w:themeColor="text1"/>
        </w:rPr>
        <w:t>Where the utilities are separate from the rent, they are considered an operating cost.</w:t>
      </w:r>
    </w:p>
    <w:p w14:paraId="49400F65" w14:textId="5875CFAF" w:rsidR="003E2AD2" w:rsidRPr="003E2AD2" w:rsidRDefault="003E2AD2">
      <w:pPr>
        <w:pStyle w:val="ListParagraph"/>
        <w:numPr>
          <w:ilvl w:val="3"/>
          <w:numId w:val="83"/>
        </w:numPr>
        <w:rPr>
          <w:rFonts w:ascii="Calibri" w:hAnsi="Calibri"/>
          <w:color w:val="000000" w:themeColor="text1"/>
        </w:rPr>
      </w:pPr>
      <w:r w:rsidRPr="003E2AD2">
        <w:rPr>
          <w:rFonts w:ascii="Calibri" w:hAnsi="Calibri" w:cs="Calibri"/>
          <w:color w:val="000000" w:themeColor="text1"/>
        </w:rPr>
        <w:t>Utilities for supportive service structures are considered a supportive service cost regardless of utilities being included or excluded from the rent amount.</w:t>
      </w:r>
    </w:p>
    <w:p w14:paraId="3AAD5BFE" w14:textId="4A15DA94" w:rsidR="003E2AD2" w:rsidRPr="003D267D" w:rsidRDefault="003E2AD2">
      <w:pPr>
        <w:pStyle w:val="ListParagraph"/>
        <w:numPr>
          <w:ilvl w:val="3"/>
          <w:numId w:val="83"/>
        </w:numPr>
        <w:rPr>
          <w:rFonts w:ascii="Calibri" w:hAnsi="Calibri"/>
          <w:color w:val="000000" w:themeColor="text1"/>
        </w:rPr>
      </w:pPr>
      <w:r w:rsidRPr="003E2AD2">
        <w:rPr>
          <w:rFonts w:ascii="Calibri" w:hAnsi="Calibri" w:cs="Calibri"/>
          <w:color w:val="000000" w:themeColor="text1"/>
        </w:rPr>
        <w:t>Leasing funds may be used to pay a security deposit, but it must not exceed two months of actual rent. It is permissible to pay first and last month’s rent.</w:t>
      </w:r>
    </w:p>
    <w:p w14:paraId="436F346F" w14:textId="6789D5A2" w:rsidR="003D267D" w:rsidRDefault="003D267D" w:rsidP="003D267D">
      <w:pPr>
        <w:pStyle w:val="ListParagraph"/>
        <w:ind w:left="2160"/>
        <w:rPr>
          <w:rFonts w:ascii="Calibri" w:hAnsi="Calibri" w:cs="Calibri"/>
          <w:color w:val="000000" w:themeColor="text1"/>
        </w:rPr>
      </w:pPr>
    </w:p>
    <w:p w14:paraId="2DD5A6C8" w14:textId="77777777" w:rsidR="003D267D" w:rsidRPr="003E2AD2" w:rsidRDefault="003D267D" w:rsidP="003D267D">
      <w:pPr>
        <w:pStyle w:val="ListParagraph"/>
        <w:ind w:left="2160"/>
        <w:rPr>
          <w:rFonts w:ascii="Calibri" w:hAnsi="Calibri"/>
          <w:color w:val="000000" w:themeColor="text1"/>
        </w:rPr>
      </w:pPr>
    </w:p>
    <w:p w14:paraId="3D0842D5" w14:textId="00F8B675" w:rsidR="00BF1A00" w:rsidRDefault="00BF1A00" w:rsidP="000604EE">
      <w:pPr>
        <w:contextualSpacing/>
        <w:rPr>
          <w:rFonts w:ascii="Calibri" w:hAnsi="Calibri" w:cs="Calibri"/>
          <w:color w:val="000000" w:themeColor="text1"/>
        </w:rPr>
      </w:pPr>
    </w:p>
    <w:tbl>
      <w:tblPr>
        <w:tblStyle w:val="GridTable4-Accent1"/>
        <w:tblW w:w="13140" w:type="dxa"/>
        <w:tblInd w:w="-5" w:type="dxa"/>
        <w:tblLook w:val="04A0" w:firstRow="1" w:lastRow="0" w:firstColumn="1" w:lastColumn="0" w:noHBand="0" w:noVBand="1"/>
      </w:tblPr>
      <w:tblGrid>
        <w:gridCol w:w="3456"/>
        <w:gridCol w:w="1272"/>
        <w:gridCol w:w="1180"/>
        <w:gridCol w:w="7232"/>
      </w:tblGrid>
      <w:tr w:rsidR="00BF1A00" w:rsidRPr="00B74C5E" w14:paraId="7A7559A0" w14:textId="77777777" w:rsidTr="00271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0" w:type="dxa"/>
            <w:gridSpan w:val="4"/>
          </w:tcPr>
          <w:p w14:paraId="2566F944" w14:textId="77777777" w:rsidR="00BF1A00" w:rsidRPr="00B74C5E" w:rsidRDefault="00BF1A00" w:rsidP="00585009">
            <w:pPr>
              <w:autoSpaceDE w:val="0"/>
              <w:autoSpaceDN w:val="0"/>
              <w:adjustRightInd w:val="0"/>
              <w:contextualSpacing/>
              <w:rPr>
                <w:rFonts w:ascii="Calibri" w:hAnsi="Calibri" w:cs="Calibri"/>
                <w:b w:val="0"/>
                <w:bCs w:val="0"/>
                <w:color w:val="000000" w:themeColor="text1"/>
              </w:rPr>
            </w:pPr>
            <w:r w:rsidRPr="00B74C5E">
              <w:rPr>
                <w:rFonts w:ascii="Calibri" w:hAnsi="Calibri" w:cs="Calibri"/>
                <w:b w:val="0"/>
                <w:bCs w:val="0"/>
                <w:color w:val="000000" w:themeColor="text1"/>
              </w:rPr>
              <w:t>CoC Leasing – Eligible Costs</w:t>
            </w:r>
          </w:p>
        </w:tc>
      </w:tr>
      <w:tr w:rsidR="00BF1A00" w:rsidRPr="00B74C5E" w14:paraId="23C70356" w14:textId="77777777" w:rsidTr="0027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0" w:type="dxa"/>
            <w:gridSpan w:val="4"/>
          </w:tcPr>
          <w:p w14:paraId="02FC4A9C" w14:textId="77777777" w:rsidR="00BF1A00" w:rsidRPr="00B74C5E" w:rsidRDefault="00BF1A00" w:rsidP="00585009">
            <w:pPr>
              <w:autoSpaceDE w:val="0"/>
              <w:autoSpaceDN w:val="0"/>
              <w:adjustRightInd w:val="0"/>
              <w:contextualSpacing/>
              <w:rPr>
                <w:rFonts w:ascii="Calibri" w:hAnsi="Calibri" w:cs="Calibri"/>
                <w:b w:val="0"/>
                <w:bCs w:val="0"/>
                <w:color w:val="000000" w:themeColor="text1"/>
              </w:rPr>
            </w:pPr>
            <w:r w:rsidRPr="00B74C5E">
              <w:rPr>
                <w:rFonts w:ascii="Calibri" w:hAnsi="Calibri" w:cs="Calibri"/>
                <w:b w:val="0"/>
                <w:bCs w:val="0"/>
                <w:color w:val="000000" w:themeColor="text1"/>
              </w:rPr>
              <w:t>Length of Housing Assistance</w:t>
            </w:r>
          </w:p>
        </w:tc>
      </w:tr>
      <w:tr w:rsidR="00BF1A00" w:rsidRPr="00B74C5E" w14:paraId="0588C279" w14:textId="77777777" w:rsidTr="00271B9B">
        <w:tc>
          <w:tcPr>
            <w:cnfStyle w:val="001000000000" w:firstRow="0" w:lastRow="0" w:firstColumn="1" w:lastColumn="0" w:oddVBand="0" w:evenVBand="0" w:oddHBand="0" w:evenHBand="0" w:firstRowFirstColumn="0" w:firstRowLastColumn="0" w:lastRowFirstColumn="0" w:lastRowLastColumn="0"/>
            <w:tcW w:w="13140" w:type="dxa"/>
            <w:gridSpan w:val="4"/>
          </w:tcPr>
          <w:p w14:paraId="24D7CAB8" w14:textId="77777777" w:rsidR="00BF1A00" w:rsidRPr="00B74C5E" w:rsidRDefault="00BF1A00" w:rsidP="00585009">
            <w:pPr>
              <w:autoSpaceDE w:val="0"/>
              <w:autoSpaceDN w:val="0"/>
              <w:adjustRightInd w:val="0"/>
              <w:contextualSpacing/>
              <w:rPr>
                <w:rFonts w:ascii="Calibri" w:hAnsi="Calibri" w:cs="Calibri"/>
                <w:b w:val="0"/>
                <w:bCs w:val="0"/>
                <w:color w:val="000000" w:themeColor="text1"/>
              </w:rPr>
            </w:pPr>
            <w:r w:rsidRPr="00B74C5E">
              <w:rPr>
                <w:rFonts w:ascii="Calibri" w:hAnsi="Calibri" w:cs="Calibri"/>
                <w:b w:val="0"/>
                <w:bCs w:val="0"/>
                <w:color w:val="000000" w:themeColor="text1"/>
              </w:rPr>
              <w:t>Up to 24 Months</w:t>
            </w:r>
          </w:p>
        </w:tc>
      </w:tr>
      <w:tr w:rsidR="00BF1A00" w:rsidRPr="00B74C5E" w14:paraId="17919B1A" w14:textId="77777777" w:rsidTr="0027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0" w:type="dxa"/>
            <w:gridSpan w:val="4"/>
          </w:tcPr>
          <w:p w14:paraId="6A995653" w14:textId="77777777" w:rsidR="00BF1A00" w:rsidRPr="00B74C5E" w:rsidRDefault="00BF1A00" w:rsidP="00585009">
            <w:pPr>
              <w:autoSpaceDE w:val="0"/>
              <w:autoSpaceDN w:val="0"/>
              <w:adjustRightInd w:val="0"/>
              <w:contextualSpacing/>
              <w:rPr>
                <w:rFonts w:ascii="Calibri" w:hAnsi="Calibri" w:cs="Calibri"/>
                <w:b w:val="0"/>
                <w:bCs w:val="0"/>
                <w:color w:val="000000" w:themeColor="text1"/>
              </w:rPr>
            </w:pPr>
            <w:r w:rsidRPr="00B74C5E">
              <w:rPr>
                <w:rFonts w:ascii="Calibri" w:hAnsi="Calibri" w:cs="Calibri"/>
                <w:b w:val="0"/>
                <w:bCs w:val="0"/>
                <w:color w:val="000000" w:themeColor="text1"/>
              </w:rPr>
              <w:t>Model of Assistance</w:t>
            </w:r>
          </w:p>
        </w:tc>
      </w:tr>
      <w:tr w:rsidR="00BF1A00" w:rsidRPr="00B74C5E" w14:paraId="54D20E28" w14:textId="77777777" w:rsidTr="00271B9B">
        <w:tc>
          <w:tcPr>
            <w:cnfStyle w:val="001000000000" w:firstRow="0" w:lastRow="0" w:firstColumn="1" w:lastColumn="0" w:oddVBand="0" w:evenVBand="0" w:oddHBand="0" w:evenHBand="0" w:firstRowFirstColumn="0" w:firstRowLastColumn="0" w:lastRowFirstColumn="0" w:lastRowLastColumn="0"/>
            <w:tcW w:w="3456" w:type="dxa"/>
          </w:tcPr>
          <w:p w14:paraId="47F7EBF8" w14:textId="77777777" w:rsidR="00BF1A00" w:rsidRPr="00B74C5E" w:rsidRDefault="00BF1A00" w:rsidP="00585009">
            <w:pPr>
              <w:autoSpaceDE w:val="0"/>
              <w:autoSpaceDN w:val="0"/>
              <w:adjustRightInd w:val="0"/>
              <w:contextualSpacing/>
              <w:rPr>
                <w:rFonts w:ascii="Calibri" w:hAnsi="Calibri" w:cs="Calibri"/>
                <w:b w:val="0"/>
                <w:bCs w:val="0"/>
                <w:color w:val="000000" w:themeColor="text1"/>
              </w:rPr>
            </w:pPr>
            <w:r w:rsidRPr="00B74C5E">
              <w:rPr>
                <w:rFonts w:ascii="Calibri" w:hAnsi="Calibri" w:cs="Calibri"/>
                <w:b w:val="0"/>
                <w:bCs w:val="0"/>
                <w:color w:val="000000" w:themeColor="text1"/>
              </w:rPr>
              <w:t>Structure(s)</w:t>
            </w:r>
          </w:p>
        </w:tc>
        <w:tc>
          <w:tcPr>
            <w:tcW w:w="2452" w:type="dxa"/>
            <w:gridSpan w:val="2"/>
          </w:tcPr>
          <w:p w14:paraId="0D24536D" w14:textId="77777777" w:rsidR="00BF1A00" w:rsidRPr="00B74C5E" w:rsidRDefault="00BF1A00" w:rsidP="00585009">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B74C5E">
              <w:rPr>
                <w:rFonts w:ascii="Calibri" w:hAnsi="Calibri" w:cs="Calibri"/>
                <w:color w:val="000000" w:themeColor="text1"/>
              </w:rPr>
              <w:t>Portion of Building(s)</w:t>
            </w:r>
          </w:p>
        </w:tc>
        <w:tc>
          <w:tcPr>
            <w:tcW w:w="7232" w:type="dxa"/>
          </w:tcPr>
          <w:p w14:paraId="45A13744" w14:textId="77777777" w:rsidR="00BF1A00" w:rsidRPr="00B74C5E" w:rsidRDefault="00BF1A00" w:rsidP="00585009">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B74C5E">
              <w:rPr>
                <w:rFonts w:ascii="Calibri" w:hAnsi="Calibri" w:cs="Calibri"/>
                <w:color w:val="000000" w:themeColor="text1"/>
              </w:rPr>
              <w:t>Individual Units</w:t>
            </w:r>
          </w:p>
        </w:tc>
      </w:tr>
      <w:tr w:rsidR="00BF1A00" w:rsidRPr="00B74C5E" w14:paraId="6029176F" w14:textId="77777777" w:rsidTr="0027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0" w:type="dxa"/>
            <w:gridSpan w:val="4"/>
          </w:tcPr>
          <w:p w14:paraId="1976084C" w14:textId="77777777" w:rsidR="00BF1A00" w:rsidRPr="00B74C5E" w:rsidRDefault="00BF1A00" w:rsidP="00585009">
            <w:pPr>
              <w:autoSpaceDE w:val="0"/>
              <w:autoSpaceDN w:val="0"/>
              <w:adjustRightInd w:val="0"/>
              <w:contextualSpacing/>
              <w:rPr>
                <w:rFonts w:ascii="Calibri" w:hAnsi="Calibri" w:cs="Calibri"/>
                <w:b w:val="0"/>
                <w:bCs w:val="0"/>
                <w:color w:val="000000" w:themeColor="text1"/>
              </w:rPr>
            </w:pPr>
            <w:r w:rsidRPr="00B74C5E">
              <w:rPr>
                <w:rFonts w:ascii="Calibri" w:hAnsi="Calibri" w:cs="Calibri"/>
                <w:b w:val="0"/>
                <w:bCs w:val="0"/>
                <w:color w:val="000000" w:themeColor="text1"/>
              </w:rPr>
              <w:lastRenderedPageBreak/>
              <w:t>Other Eligible Costs</w:t>
            </w:r>
          </w:p>
        </w:tc>
      </w:tr>
      <w:tr w:rsidR="00BF1A00" w:rsidRPr="00B74C5E" w14:paraId="5926819D" w14:textId="77777777" w:rsidTr="00271B9B">
        <w:tc>
          <w:tcPr>
            <w:cnfStyle w:val="001000000000" w:firstRow="0" w:lastRow="0" w:firstColumn="1" w:lastColumn="0" w:oddVBand="0" w:evenVBand="0" w:oddHBand="0" w:evenHBand="0" w:firstRowFirstColumn="0" w:firstRowLastColumn="0" w:lastRowFirstColumn="0" w:lastRowLastColumn="0"/>
            <w:tcW w:w="13140" w:type="dxa"/>
            <w:gridSpan w:val="4"/>
          </w:tcPr>
          <w:p w14:paraId="2374F6A3" w14:textId="77777777" w:rsidR="00BF1A00" w:rsidRPr="00B74C5E" w:rsidRDefault="00BF1A00" w:rsidP="00585009">
            <w:pPr>
              <w:autoSpaceDE w:val="0"/>
              <w:autoSpaceDN w:val="0"/>
              <w:adjustRightInd w:val="0"/>
              <w:contextualSpacing/>
              <w:rPr>
                <w:rFonts w:ascii="Calibri" w:hAnsi="Calibri" w:cs="Calibri"/>
                <w:b w:val="0"/>
                <w:bCs w:val="0"/>
                <w:color w:val="000000" w:themeColor="text1"/>
              </w:rPr>
            </w:pPr>
            <w:r w:rsidRPr="00B74C5E">
              <w:rPr>
                <w:rFonts w:ascii="Calibri" w:hAnsi="Calibri" w:cs="Calibri"/>
                <w:b w:val="0"/>
                <w:bCs w:val="0"/>
                <w:color w:val="000000" w:themeColor="text1"/>
                <w:u w:val="single"/>
              </w:rPr>
              <w:t>Vacancy Payment</w:t>
            </w:r>
            <w:r w:rsidRPr="00B74C5E">
              <w:rPr>
                <w:rFonts w:ascii="Calibri" w:hAnsi="Calibri" w:cs="Calibri"/>
                <w:b w:val="0"/>
                <w:bCs w:val="0"/>
                <w:color w:val="000000" w:themeColor="text1"/>
              </w:rPr>
              <w:t xml:space="preserve"> Service providers must abide by the terms of the master lease and pay rent for the unit regardless of whether the unit is occupied. However, the service provider must make every effort to house an eligible household in the vacant unit as quickly as possible.</w:t>
            </w:r>
          </w:p>
        </w:tc>
      </w:tr>
      <w:tr w:rsidR="00BF1A00" w:rsidRPr="00B74C5E" w14:paraId="2EDBC398" w14:textId="77777777" w:rsidTr="00271B9B">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728" w:type="dxa"/>
            <w:gridSpan w:val="2"/>
            <w:shd w:val="clear" w:color="auto" w:fill="FFFFFF" w:themeFill="background1"/>
          </w:tcPr>
          <w:p w14:paraId="354738EE" w14:textId="77777777" w:rsidR="00BF1A00" w:rsidRPr="00B74C5E" w:rsidRDefault="00BF1A00" w:rsidP="00585009">
            <w:pPr>
              <w:autoSpaceDE w:val="0"/>
              <w:autoSpaceDN w:val="0"/>
              <w:adjustRightInd w:val="0"/>
              <w:contextualSpacing/>
              <w:rPr>
                <w:rFonts w:ascii="Calibri" w:hAnsi="Calibri" w:cs="Calibri"/>
                <w:b w:val="0"/>
                <w:bCs w:val="0"/>
                <w:color w:val="000000" w:themeColor="text1"/>
              </w:rPr>
            </w:pPr>
            <w:r w:rsidRPr="00B74C5E">
              <w:rPr>
                <w:rFonts w:ascii="Calibri" w:hAnsi="Calibri" w:cs="Calibri"/>
                <w:b w:val="0"/>
                <w:bCs w:val="0"/>
                <w:color w:val="000000" w:themeColor="text1"/>
                <w:u w:val="single"/>
              </w:rPr>
              <w:t>Utilities</w:t>
            </w:r>
            <w:r w:rsidRPr="00B74C5E">
              <w:rPr>
                <w:rFonts w:ascii="Calibri" w:hAnsi="Calibri" w:cs="Calibri"/>
                <w:b w:val="0"/>
                <w:bCs w:val="0"/>
                <w:color w:val="000000" w:themeColor="text1"/>
              </w:rPr>
              <w:t xml:space="preserve"> (electricity, gas, water) –</w:t>
            </w:r>
          </w:p>
          <w:p w14:paraId="085FD496" w14:textId="77777777" w:rsidR="00BF1A00" w:rsidRPr="00B74C5E" w:rsidRDefault="00BF1A00" w:rsidP="00585009">
            <w:pPr>
              <w:autoSpaceDE w:val="0"/>
              <w:autoSpaceDN w:val="0"/>
              <w:adjustRightInd w:val="0"/>
              <w:contextualSpacing/>
              <w:rPr>
                <w:rFonts w:ascii="Calibri" w:hAnsi="Calibri" w:cs="Calibri"/>
                <w:b w:val="0"/>
                <w:bCs w:val="0"/>
                <w:color w:val="000000" w:themeColor="text1"/>
              </w:rPr>
            </w:pPr>
            <w:r w:rsidRPr="00B74C5E">
              <w:rPr>
                <w:rFonts w:ascii="Calibri" w:hAnsi="Calibri" w:cs="Calibri"/>
                <w:b w:val="0"/>
                <w:bCs w:val="0"/>
                <w:color w:val="000000" w:themeColor="text1"/>
              </w:rPr>
              <w:t>only if included in the rent</w:t>
            </w:r>
          </w:p>
        </w:tc>
        <w:tc>
          <w:tcPr>
            <w:tcW w:w="8412" w:type="dxa"/>
            <w:gridSpan w:val="2"/>
            <w:shd w:val="clear" w:color="auto" w:fill="FFFFFF" w:themeFill="background1"/>
          </w:tcPr>
          <w:p w14:paraId="5F6B34F7" w14:textId="77777777" w:rsidR="00BF1A00" w:rsidRPr="00B74C5E" w:rsidRDefault="00BF1A00" w:rsidP="00585009">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74C5E">
              <w:rPr>
                <w:rFonts w:ascii="Calibri" w:hAnsi="Calibri" w:cs="Calibri"/>
                <w:color w:val="000000" w:themeColor="text1"/>
                <w:u w:val="single"/>
              </w:rPr>
              <w:t>Security Deposits</w:t>
            </w:r>
            <w:r w:rsidRPr="00B74C5E">
              <w:rPr>
                <w:rFonts w:ascii="Calibri" w:hAnsi="Calibri" w:cs="Calibri"/>
                <w:color w:val="000000" w:themeColor="text1"/>
              </w:rPr>
              <w:t xml:space="preserve"> not to exceed 2 months of rent</w:t>
            </w:r>
          </w:p>
        </w:tc>
      </w:tr>
      <w:tr w:rsidR="00BF1A00" w:rsidRPr="00B74C5E" w14:paraId="45A37D8E" w14:textId="77777777" w:rsidTr="00271B9B">
        <w:trPr>
          <w:trHeight w:val="323"/>
        </w:trPr>
        <w:tc>
          <w:tcPr>
            <w:cnfStyle w:val="001000000000" w:firstRow="0" w:lastRow="0" w:firstColumn="1" w:lastColumn="0" w:oddVBand="0" w:evenVBand="0" w:oddHBand="0" w:evenHBand="0" w:firstRowFirstColumn="0" w:firstRowLastColumn="0" w:lastRowFirstColumn="0" w:lastRowLastColumn="0"/>
            <w:tcW w:w="13140" w:type="dxa"/>
            <w:gridSpan w:val="4"/>
            <w:shd w:val="clear" w:color="auto" w:fill="FCEAD0"/>
          </w:tcPr>
          <w:p w14:paraId="3FEB6C38" w14:textId="77777777" w:rsidR="00BF1A00" w:rsidRPr="00B74C5E" w:rsidRDefault="00BF1A00" w:rsidP="00585009">
            <w:pPr>
              <w:autoSpaceDE w:val="0"/>
              <w:autoSpaceDN w:val="0"/>
              <w:adjustRightInd w:val="0"/>
              <w:contextualSpacing/>
              <w:rPr>
                <w:rFonts w:ascii="Calibri" w:hAnsi="Calibri" w:cs="Calibri"/>
                <w:b w:val="0"/>
                <w:bCs w:val="0"/>
                <w:color w:val="000000" w:themeColor="text1"/>
              </w:rPr>
            </w:pPr>
            <w:r w:rsidRPr="00B74C5E">
              <w:rPr>
                <w:rFonts w:ascii="Calibri" w:hAnsi="Calibri" w:cs="Calibri"/>
                <w:b w:val="0"/>
                <w:bCs w:val="0"/>
                <w:color w:val="000000" w:themeColor="text1"/>
              </w:rPr>
              <w:t>* Damages are not an eligible leasing cost.</w:t>
            </w:r>
          </w:p>
        </w:tc>
      </w:tr>
    </w:tbl>
    <w:p w14:paraId="2C1488EE" w14:textId="77777777" w:rsidR="00BF1A00" w:rsidRPr="00493B95" w:rsidRDefault="00BF1A00" w:rsidP="00BF1A00">
      <w:pPr>
        <w:autoSpaceDE w:val="0"/>
        <w:autoSpaceDN w:val="0"/>
        <w:adjustRightInd w:val="0"/>
        <w:contextualSpacing/>
        <w:rPr>
          <w:rFonts w:ascii="Calibri" w:hAnsi="Calibri" w:cs="Calibri"/>
          <w:color w:val="000000" w:themeColor="text1"/>
          <w:highlight w:val="lightGray"/>
        </w:rPr>
      </w:pPr>
    </w:p>
    <w:tbl>
      <w:tblPr>
        <w:tblStyle w:val="GridTable4-Accent1"/>
        <w:tblW w:w="13140" w:type="dxa"/>
        <w:tblInd w:w="-5" w:type="dxa"/>
        <w:tblLook w:val="04A0" w:firstRow="1" w:lastRow="0" w:firstColumn="1" w:lastColumn="0" w:noHBand="0" w:noVBand="1"/>
      </w:tblPr>
      <w:tblGrid>
        <w:gridCol w:w="3150"/>
        <w:gridCol w:w="9990"/>
      </w:tblGrid>
      <w:tr w:rsidR="00BF1A00" w:rsidRPr="00B74C5E" w14:paraId="66FA6FA4" w14:textId="77777777" w:rsidTr="003031BB">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3140" w:type="dxa"/>
            <w:gridSpan w:val="2"/>
          </w:tcPr>
          <w:p w14:paraId="2AD5CBDC" w14:textId="77777777" w:rsidR="00BF1A00" w:rsidRPr="00B74C5E" w:rsidRDefault="00BF1A00" w:rsidP="00585009">
            <w:pPr>
              <w:autoSpaceDE w:val="0"/>
              <w:autoSpaceDN w:val="0"/>
              <w:adjustRightInd w:val="0"/>
              <w:contextualSpacing/>
              <w:rPr>
                <w:rFonts w:ascii="Calibri" w:hAnsi="Calibri" w:cs="Calibri"/>
                <w:b w:val="0"/>
                <w:bCs w:val="0"/>
                <w:color w:val="000000" w:themeColor="text1"/>
              </w:rPr>
            </w:pPr>
            <w:r w:rsidRPr="00B74C5E">
              <w:rPr>
                <w:rFonts w:ascii="Calibri" w:hAnsi="Calibri" w:cs="Calibri"/>
                <w:b w:val="0"/>
                <w:bCs w:val="0"/>
                <w:color w:val="000000" w:themeColor="text1"/>
              </w:rPr>
              <w:t>CoC Leasing – Key Requirements</w:t>
            </w:r>
          </w:p>
        </w:tc>
      </w:tr>
      <w:tr w:rsidR="00BF1A00" w:rsidRPr="00B74C5E" w14:paraId="534F19CD" w14:textId="77777777" w:rsidTr="003031B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150" w:type="dxa"/>
            <w:shd w:val="clear" w:color="auto" w:fill="FCEAD0"/>
          </w:tcPr>
          <w:p w14:paraId="3099D3AD" w14:textId="77777777" w:rsidR="00BF1A00" w:rsidRPr="00B74C5E" w:rsidRDefault="00BF1A00" w:rsidP="00585009">
            <w:pPr>
              <w:autoSpaceDE w:val="0"/>
              <w:autoSpaceDN w:val="0"/>
              <w:adjustRightInd w:val="0"/>
              <w:contextualSpacing/>
              <w:rPr>
                <w:rFonts w:ascii="Calibri" w:hAnsi="Calibri" w:cs="Calibri"/>
                <w:b w:val="0"/>
                <w:bCs w:val="0"/>
                <w:color w:val="000000" w:themeColor="text1"/>
              </w:rPr>
            </w:pPr>
            <w:r w:rsidRPr="00B74C5E">
              <w:rPr>
                <w:rFonts w:ascii="Calibri" w:hAnsi="Calibri" w:cs="Calibri"/>
                <w:b w:val="0"/>
                <w:bCs w:val="0"/>
                <w:color w:val="000000" w:themeColor="text1"/>
              </w:rPr>
              <w:t>Unit Rent Standard</w:t>
            </w:r>
          </w:p>
        </w:tc>
        <w:tc>
          <w:tcPr>
            <w:tcW w:w="9990" w:type="dxa"/>
            <w:shd w:val="clear" w:color="auto" w:fill="FCEAD0"/>
          </w:tcPr>
          <w:p w14:paraId="185A594F" w14:textId="77777777" w:rsidR="00BF1A00" w:rsidRPr="00B74C5E" w:rsidRDefault="00BF1A00" w:rsidP="00585009">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74C5E">
              <w:rPr>
                <w:rFonts w:ascii="Calibri" w:hAnsi="Calibri" w:cs="Calibri"/>
                <w:color w:val="000000" w:themeColor="text1"/>
              </w:rPr>
              <w:t>Rent paid by the recipient for a unit must be reasonable in comparison to</w:t>
            </w:r>
          </w:p>
          <w:p w14:paraId="5D20EDC9" w14:textId="77777777" w:rsidR="00BF1A00" w:rsidRPr="00B74C5E" w:rsidRDefault="00BF1A00" w:rsidP="00585009">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74C5E">
              <w:rPr>
                <w:rFonts w:ascii="Calibri" w:hAnsi="Calibri" w:cs="Calibri"/>
                <w:color w:val="000000" w:themeColor="text1"/>
              </w:rPr>
              <w:t>similar units, cannot exceed comparable unassisted units and cannot exceed Fair Market Rent (FMR).</w:t>
            </w:r>
          </w:p>
        </w:tc>
      </w:tr>
      <w:tr w:rsidR="00BF1A00" w:rsidRPr="00B74C5E" w14:paraId="7C2A946B" w14:textId="77777777" w:rsidTr="003031BB">
        <w:trPr>
          <w:trHeight w:val="1187"/>
        </w:trPr>
        <w:tc>
          <w:tcPr>
            <w:cnfStyle w:val="001000000000" w:firstRow="0" w:lastRow="0" w:firstColumn="1" w:lastColumn="0" w:oddVBand="0" w:evenVBand="0" w:oddHBand="0" w:evenHBand="0" w:firstRowFirstColumn="0" w:firstRowLastColumn="0" w:lastRowFirstColumn="0" w:lastRowLastColumn="0"/>
            <w:tcW w:w="3150" w:type="dxa"/>
            <w:shd w:val="clear" w:color="auto" w:fill="FFFFFF" w:themeFill="background1"/>
          </w:tcPr>
          <w:p w14:paraId="1C9DA8E3" w14:textId="77777777" w:rsidR="00BF1A00" w:rsidRPr="00B74C5E" w:rsidRDefault="00BF1A00" w:rsidP="00585009">
            <w:pPr>
              <w:autoSpaceDE w:val="0"/>
              <w:autoSpaceDN w:val="0"/>
              <w:adjustRightInd w:val="0"/>
              <w:contextualSpacing/>
              <w:rPr>
                <w:rFonts w:ascii="Calibri" w:hAnsi="Calibri" w:cs="Calibri"/>
                <w:b w:val="0"/>
                <w:bCs w:val="0"/>
                <w:color w:val="000000" w:themeColor="text1"/>
              </w:rPr>
            </w:pPr>
            <w:r w:rsidRPr="00B74C5E">
              <w:rPr>
                <w:rFonts w:ascii="Calibri" w:hAnsi="Calibri" w:cs="Calibri"/>
                <w:b w:val="0"/>
                <w:bCs w:val="0"/>
                <w:color w:val="000000" w:themeColor="text1"/>
              </w:rPr>
              <w:t>Unit Lease – Master</w:t>
            </w:r>
          </w:p>
          <w:p w14:paraId="6764D704" w14:textId="77777777" w:rsidR="00BF1A00" w:rsidRPr="00B74C5E" w:rsidRDefault="00BF1A00" w:rsidP="00585009">
            <w:pPr>
              <w:autoSpaceDE w:val="0"/>
              <w:autoSpaceDN w:val="0"/>
              <w:adjustRightInd w:val="0"/>
              <w:contextualSpacing/>
              <w:rPr>
                <w:rFonts w:ascii="Calibri" w:hAnsi="Calibri" w:cs="Calibri"/>
                <w:b w:val="0"/>
                <w:bCs w:val="0"/>
                <w:color w:val="000000" w:themeColor="text1"/>
              </w:rPr>
            </w:pPr>
            <w:r w:rsidRPr="00B74C5E">
              <w:rPr>
                <w:rFonts w:ascii="Calibri" w:hAnsi="Calibri" w:cs="Calibri"/>
                <w:b w:val="0"/>
                <w:bCs w:val="0"/>
                <w:color w:val="000000" w:themeColor="text1"/>
              </w:rPr>
              <w:t>Lease and Sublease</w:t>
            </w:r>
          </w:p>
        </w:tc>
        <w:tc>
          <w:tcPr>
            <w:tcW w:w="9990" w:type="dxa"/>
            <w:shd w:val="clear" w:color="auto" w:fill="FFFFFF" w:themeFill="background1"/>
          </w:tcPr>
          <w:p w14:paraId="2299AA64" w14:textId="77777777" w:rsidR="00BF1A00" w:rsidRPr="00B74C5E" w:rsidRDefault="00BF1A00" w:rsidP="00585009">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B74C5E">
              <w:rPr>
                <w:rFonts w:ascii="Calibri" w:hAnsi="Calibri" w:cs="Calibri"/>
                <w:color w:val="000000" w:themeColor="text1"/>
              </w:rPr>
              <w:t xml:space="preserve">Service providers must have a “master” lease agreement with the landlord/owner. Leasing costs are paid directly to the landlord/owner in accordance with the master lease. Service providers must have a sublease in place with households. </w:t>
            </w:r>
          </w:p>
        </w:tc>
      </w:tr>
      <w:tr w:rsidR="00BF1A00" w:rsidRPr="00B74C5E" w14:paraId="546D224D" w14:textId="77777777" w:rsidTr="003031BB">
        <w:trPr>
          <w:cnfStyle w:val="000000100000" w:firstRow="0" w:lastRow="0" w:firstColumn="0" w:lastColumn="0" w:oddVBand="0" w:evenVBand="0" w:oddHBand="1" w:evenHBand="0" w:firstRowFirstColumn="0" w:firstRowLastColumn="0" w:lastRowFirstColumn="0" w:lastRowLastColumn="0"/>
          <w:trHeight w:val="2258"/>
        </w:trPr>
        <w:tc>
          <w:tcPr>
            <w:cnfStyle w:val="001000000000" w:firstRow="0" w:lastRow="0" w:firstColumn="1" w:lastColumn="0" w:oddVBand="0" w:evenVBand="0" w:oddHBand="0" w:evenHBand="0" w:firstRowFirstColumn="0" w:firstRowLastColumn="0" w:lastRowFirstColumn="0" w:lastRowLastColumn="0"/>
            <w:tcW w:w="3150" w:type="dxa"/>
            <w:shd w:val="clear" w:color="auto" w:fill="FCEAD0"/>
          </w:tcPr>
          <w:p w14:paraId="088CC1C3" w14:textId="77777777" w:rsidR="00BF1A00" w:rsidRPr="00B74C5E" w:rsidRDefault="00BF1A00" w:rsidP="00585009">
            <w:pPr>
              <w:autoSpaceDE w:val="0"/>
              <w:autoSpaceDN w:val="0"/>
              <w:adjustRightInd w:val="0"/>
              <w:contextualSpacing/>
              <w:rPr>
                <w:rFonts w:ascii="Calibri" w:hAnsi="Calibri" w:cs="Calibri"/>
                <w:b w:val="0"/>
                <w:bCs w:val="0"/>
                <w:color w:val="000000" w:themeColor="text1"/>
              </w:rPr>
            </w:pPr>
            <w:r w:rsidRPr="00B74C5E">
              <w:rPr>
                <w:rFonts w:ascii="Calibri" w:hAnsi="Calibri" w:cs="Calibri"/>
                <w:b w:val="0"/>
                <w:bCs w:val="0"/>
                <w:color w:val="000000" w:themeColor="text1"/>
              </w:rPr>
              <w:t>Household Rent Contribution</w:t>
            </w:r>
          </w:p>
        </w:tc>
        <w:tc>
          <w:tcPr>
            <w:tcW w:w="9990" w:type="dxa"/>
            <w:shd w:val="clear" w:color="auto" w:fill="FCEAD0"/>
          </w:tcPr>
          <w:p w14:paraId="1AF2171B" w14:textId="77777777" w:rsidR="00BF1A00" w:rsidRPr="00B74C5E" w:rsidRDefault="00BF1A00" w:rsidP="00585009">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74C5E">
              <w:rPr>
                <w:rFonts w:ascii="Calibri" w:hAnsi="Calibri" w:cs="Calibri"/>
                <w:color w:val="000000" w:themeColor="text1"/>
              </w:rPr>
              <w:t xml:space="preserve">Service providers are not required to have households pay rent, but if they choose to charge households rent, the rent must be calculated in accordance with 24 CFR § </w:t>
            </w:r>
            <w:proofErr w:type="gramStart"/>
            <w:r w:rsidRPr="00B74C5E">
              <w:rPr>
                <w:rFonts w:ascii="Calibri" w:hAnsi="Calibri" w:cs="Calibri"/>
                <w:color w:val="000000" w:themeColor="text1"/>
              </w:rPr>
              <w:t>578.77, and</w:t>
            </w:r>
            <w:proofErr w:type="gramEnd"/>
            <w:r w:rsidRPr="00B74C5E">
              <w:rPr>
                <w:rFonts w:ascii="Calibri" w:hAnsi="Calibri" w:cs="Calibri"/>
                <w:color w:val="000000" w:themeColor="text1"/>
              </w:rPr>
              <w:t xml:space="preserve"> cannot exceed the highest of 30% of the household’s adjusted monthly income, 10% of the household’s monthly income, or the welfare rent. Any household rent that is collected is considered Program Income and must be used for eligible costs in accordance with 24 CFR § 578.97.</w:t>
            </w:r>
          </w:p>
        </w:tc>
      </w:tr>
    </w:tbl>
    <w:p w14:paraId="2156F830" w14:textId="207BFC51" w:rsidR="003031BB" w:rsidRDefault="003031BB" w:rsidP="003031BB">
      <w:pPr>
        <w:pStyle w:val="Heading2"/>
        <w:spacing w:before="0" w:line="240" w:lineRule="auto"/>
        <w:ind w:left="720"/>
        <w:contextualSpacing/>
        <w:rPr>
          <w:color w:val="000000" w:themeColor="text1"/>
        </w:rPr>
      </w:pPr>
    </w:p>
    <w:p w14:paraId="4F8B6FB7" w14:textId="77777777" w:rsidR="003031BB" w:rsidRPr="003031BB" w:rsidRDefault="003031BB" w:rsidP="003031BB"/>
    <w:p w14:paraId="25E5BA01" w14:textId="14051082" w:rsidR="00B74C5E" w:rsidRPr="0061434B" w:rsidRDefault="00B74C5E">
      <w:pPr>
        <w:pStyle w:val="Heading2"/>
        <w:numPr>
          <w:ilvl w:val="0"/>
          <w:numId w:val="79"/>
        </w:numPr>
        <w:spacing w:before="0" w:line="240" w:lineRule="auto"/>
        <w:contextualSpacing/>
        <w:rPr>
          <w:color w:val="0070C0"/>
        </w:rPr>
      </w:pPr>
      <w:bookmarkStart w:id="178" w:name="_Toc124255085"/>
      <w:r w:rsidRPr="0061434B">
        <w:rPr>
          <w:color w:val="0070C0"/>
        </w:rPr>
        <w:t>Service Requirements</w:t>
      </w:r>
      <w:bookmarkEnd w:id="178"/>
      <w:r w:rsidRPr="0061434B">
        <w:rPr>
          <w:color w:val="0070C0"/>
        </w:rPr>
        <w:t xml:space="preserve"> </w:t>
      </w:r>
    </w:p>
    <w:p w14:paraId="791D750D" w14:textId="4DC70267" w:rsidR="00B74C5E" w:rsidRPr="00B74C5E" w:rsidRDefault="00B74C5E">
      <w:pPr>
        <w:pStyle w:val="ListParagraph"/>
        <w:numPr>
          <w:ilvl w:val="0"/>
          <w:numId w:val="84"/>
        </w:numPr>
        <w:rPr>
          <w:rFonts w:ascii="Calibri" w:hAnsi="Calibri"/>
          <w:color w:val="000000" w:themeColor="text1"/>
        </w:rPr>
      </w:pPr>
      <w:r w:rsidRPr="00B74C5E">
        <w:rPr>
          <w:rFonts w:ascii="Calibri" w:hAnsi="Calibri" w:cs="Calibri"/>
          <w:color w:val="000000" w:themeColor="text1"/>
        </w:rPr>
        <w:t xml:space="preserve">Overview </w:t>
      </w:r>
    </w:p>
    <w:p w14:paraId="7A2078DE" w14:textId="590213BE" w:rsidR="00B74C5E" w:rsidRPr="00B74C5E" w:rsidRDefault="00B74C5E">
      <w:pPr>
        <w:pStyle w:val="ListParagraph"/>
        <w:numPr>
          <w:ilvl w:val="2"/>
          <w:numId w:val="84"/>
        </w:numPr>
        <w:rPr>
          <w:rFonts w:ascii="Calibri" w:hAnsi="Calibri"/>
          <w:color w:val="000000" w:themeColor="text1"/>
        </w:rPr>
      </w:pPr>
      <w:r w:rsidRPr="00B74C5E">
        <w:rPr>
          <w:rFonts w:ascii="Calibri" w:hAnsi="Calibri" w:cs="Calibri"/>
          <w:color w:val="000000" w:themeColor="text1"/>
        </w:rPr>
        <w:t>Transitional housing programs must develop service plans with each household and provide or offer referrals for identified services that address each household’s ongoing needs. Service planning should be initiated at intake and focus on identifying and transitioning households to the most appropriate permanent housing situation.</w:t>
      </w:r>
    </w:p>
    <w:p w14:paraId="3FBC410E" w14:textId="6BEEAAC8" w:rsidR="00B74C5E" w:rsidRPr="00B74C5E" w:rsidRDefault="00B74C5E">
      <w:pPr>
        <w:pStyle w:val="ListParagraph"/>
        <w:numPr>
          <w:ilvl w:val="3"/>
          <w:numId w:val="84"/>
        </w:numPr>
        <w:rPr>
          <w:rFonts w:ascii="Calibri" w:hAnsi="Calibri"/>
          <w:color w:val="000000" w:themeColor="text1"/>
        </w:rPr>
      </w:pPr>
      <w:r w:rsidRPr="00B74C5E">
        <w:rPr>
          <w:rFonts w:ascii="Calibri" w:hAnsi="Calibri" w:cs="Calibri"/>
          <w:color w:val="000000" w:themeColor="text1"/>
        </w:rPr>
        <w:t>Service providers will conduct quarterly case management meetings with each household.</w:t>
      </w:r>
    </w:p>
    <w:p w14:paraId="3E1AB5FD" w14:textId="4ACC4673" w:rsidR="00B74C5E" w:rsidRPr="00B74C5E" w:rsidRDefault="00B74C5E">
      <w:pPr>
        <w:pStyle w:val="ListParagraph"/>
        <w:numPr>
          <w:ilvl w:val="0"/>
          <w:numId w:val="84"/>
        </w:numPr>
        <w:rPr>
          <w:rFonts w:ascii="Calibri" w:hAnsi="Calibri"/>
          <w:color w:val="000000" w:themeColor="text1"/>
        </w:rPr>
      </w:pPr>
      <w:r w:rsidRPr="00B74C5E">
        <w:rPr>
          <w:rFonts w:ascii="Calibri" w:hAnsi="Calibri" w:cs="Calibri"/>
          <w:color w:val="000000" w:themeColor="text1"/>
        </w:rPr>
        <w:t>Services include, but are not limited to:</w:t>
      </w:r>
    </w:p>
    <w:p w14:paraId="7D5B1E28" w14:textId="77777777" w:rsidR="00B74C5E" w:rsidRPr="00B74C5E" w:rsidRDefault="00B74C5E">
      <w:pPr>
        <w:pStyle w:val="ListParagraph"/>
        <w:numPr>
          <w:ilvl w:val="2"/>
          <w:numId w:val="84"/>
        </w:numPr>
        <w:rPr>
          <w:rFonts w:ascii="Calibri" w:hAnsi="Calibri"/>
          <w:color w:val="000000" w:themeColor="text1"/>
        </w:rPr>
      </w:pPr>
      <w:r w:rsidRPr="00B74C5E">
        <w:rPr>
          <w:rFonts w:ascii="Calibri" w:hAnsi="Calibri" w:cs="Calibri"/>
          <w:color w:val="000000" w:themeColor="text1"/>
        </w:rPr>
        <w:lastRenderedPageBreak/>
        <w:t xml:space="preserve">Crisis intervention; </w:t>
      </w:r>
    </w:p>
    <w:p w14:paraId="54856849" w14:textId="77777777" w:rsidR="00B74C5E" w:rsidRPr="00B74C5E" w:rsidRDefault="00B74C5E">
      <w:pPr>
        <w:pStyle w:val="ListParagraph"/>
        <w:numPr>
          <w:ilvl w:val="2"/>
          <w:numId w:val="84"/>
        </w:numPr>
        <w:rPr>
          <w:rFonts w:ascii="Calibri" w:hAnsi="Calibri"/>
          <w:color w:val="000000" w:themeColor="text1"/>
        </w:rPr>
      </w:pPr>
      <w:r w:rsidRPr="00B74C5E">
        <w:rPr>
          <w:rFonts w:ascii="Calibri" w:hAnsi="Calibri" w:cs="Calibri"/>
          <w:color w:val="000000" w:themeColor="text1"/>
        </w:rPr>
        <w:t xml:space="preserve">Legal assistance; </w:t>
      </w:r>
    </w:p>
    <w:p w14:paraId="70F91A49" w14:textId="77777777" w:rsidR="00B74C5E" w:rsidRPr="00B74C5E" w:rsidRDefault="00B74C5E">
      <w:pPr>
        <w:pStyle w:val="ListParagraph"/>
        <w:numPr>
          <w:ilvl w:val="2"/>
          <w:numId w:val="84"/>
        </w:numPr>
        <w:rPr>
          <w:rFonts w:ascii="Calibri" w:hAnsi="Calibri"/>
          <w:color w:val="000000" w:themeColor="text1"/>
        </w:rPr>
      </w:pPr>
      <w:r w:rsidRPr="00B74C5E">
        <w:rPr>
          <w:rFonts w:ascii="Calibri" w:hAnsi="Calibri" w:cs="Calibri"/>
          <w:color w:val="000000" w:themeColor="text1"/>
        </w:rPr>
        <w:t xml:space="preserve">Service coordination; </w:t>
      </w:r>
    </w:p>
    <w:p w14:paraId="7EFDAA82" w14:textId="77777777" w:rsidR="00B74C5E" w:rsidRPr="00B74C5E" w:rsidRDefault="00B74C5E">
      <w:pPr>
        <w:pStyle w:val="ListParagraph"/>
        <w:numPr>
          <w:ilvl w:val="2"/>
          <w:numId w:val="84"/>
        </w:numPr>
        <w:rPr>
          <w:rFonts w:ascii="Calibri" w:hAnsi="Calibri"/>
          <w:color w:val="000000" w:themeColor="text1"/>
        </w:rPr>
      </w:pPr>
      <w:r w:rsidRPr="00B74C5E">
        <w:rPr>
          <w:rFonts w:ascii="Calibri" w:hAnsi="Calibri" w:cs="Calibri"/>
          <w:color w:val="000000" w:themeColor="text1"/>
        </w:rPr>
        <w:t xml:space="preserve">Emergency and ongoing identification of medical and health needs and referral for care; </w:t>
      </w:r>
    </w:p>
    <w:p w14:paraId="1B45865C" w14:textId="77777777" w:rsidR="00B74C5E" w:rsidRPr="00B74C5E" w:rsidRDefault="00B74C5E">
      <w:pPr>
        <w:pStyle w:val="ListParagraph"/>
        <w:numPr>
          <w:ilvl w:val="2"/>
          <w:numId w:val="84"/>
        </w:numPr>
        <w:rPr>
          <w:rFonts w:ascii="Calibri" w:hAnsi="Calibri"/>
          <w:color w:val="000000" w:themeColor="text1"/>
        </w:rPr>
      </w:pPr>
      <w:r w:rsidRPr="00B74C5E">
        <w:rPr>
          <w:rFonts w:ascii="Calibri" w:hAnsi="Calibri" w:cs="Calibri"/>
          <w:color w:val="000000" w:themeColor="text1"/>
        </w:rPr>
        <w:t xml:space="preserve">Public benefits eligibility assessment and application assistance; </w:t>
      </w:r>
    </w:p>
    <w:p w14:paraId="1DCDFC49" w14:textId="77777777" w:rsidR="00B74C5E" w:rsidRPr="00B74C5E" w:rsidRDefault="00B74C5E">
      <w:pPr>
        <w:pStyle w:val="ListParagraph"/>
        <w:numPr>
          <w:ilvl w:val="2"/>
          <w:numId w:val="84"/>
        </w:numPr>
        <w:rPr>
          <w:rFonts w:ascii="Calibri" w:hAnsi="Calibri"/>
          <w:color w:val="000000" w:themeColor="text1"/>
        </w:rPr>
      </w:pPr>
      <w:r w:rsidRPr="00B74C5E">
        <w:rPr>
          <w:rFonts w:ascii="Calibri" w:hAnsi="Calibri" w:cs="Calibri"/>
          <w:color w:val="000000" w:themeColor="text1"/>
        </w:rPr>
        <w:t xml:space="preserve">Educational and employment assistance; </w:t>
      </w:r>
    </w:p>
    <w:p w14:paraId="72B97BB2" w14:textId="77777777" w:rsidR="00B74C5E" w:rsidRPr="00B74C5E" w:rsidRDefault="00B74C5E">
      <w:pPr>
        <w:pStyle w:val="ListParagraph"/>
        <w:numPr>
          <w:ilvl w:val="2"/>
          <w:numId w:val="84"/>
        </w:numPr>
        <w:rPr>
          <w:rFonts w:ascii="Calibri" w:hAnsi="Calibri"/>
          <w:color w:val="000000" w:themeColor="text1"/>
        </w:rPr>
      </w:pPr>
      <w:r w:rsidRPr="00B74C5E">
        <w:rPr>
          <w:rFonts w:ascii="Calibri" w:hAnsi="Calibri" w:cs="Calibri"/>
          <w:color w:val="000000" w:themeColor="text1"/>
        </w:rPr>
        <w:t xml:space="preserve">Exit planning, housing search, and relocation assistance; </w:t>
      </w:r>
    </w:p>
    <w:p w14:paraId="20998A0D" w14:textId="77777777" w:rsidR="00B74C5E" w:rsidRPr="00B74C5E" w:rsidRDefault="00B74C5E">
      <w:pPr>
        <w:pStyle w:val="ListParagraph"/>
        <w:numPr>
          <w:ilvl w:val="2"/>
          <w:numId w:val="84"/>
        </w:numPr>
        <w:rPr>
          <w:rFonts w:ascii="Calibri" w:hAnsi="Calibri"/>
          <w:color w:val="000000" w:themeColor="text1"/>
        </w:rPr>
      </w:pPr>
      <w:r w:rsidRPr="00B74C5E">
        <w:rPr>
          <w:rFonts w:ascii="Calibri" w:hAnsi="Calibri" w:cs="Calibri"/>
          <w:color w:val="000000" w:themeColor="text1"/>
        </w:rPr>
        <w:t xml:space="preserve">Education related to activities of daily living (life skills); </w:t>
      </w:r>
    </w:p>
    <w:p w14:paraId="0A6245B0" w14:textId="77777777" w:rsidR="00B74C5E" w:rsidRPr="00B74C5E" w:rsidRDefault="00B74C5E">
      <w:pPr>
        <w:pStyle w:val="ListParagraph"/>
        <w:numPr>
          <w:ilvl w:val="2"/>
          <w:numId w:val="84"/>
        </w:numPr>
        <w:rPr>
          <w:rFonts w:ascii="Calibri" w:hAnsi="Calibri"/>
          <w:color w:val="000000" w:themeColor="text1"/>
        </w:rPr>
      </w:pPr>
      <w:r w:rsidRPr="00B74C5E">
        <w:rPr>
          <w:rFonts w:ascii="Calibri" w:hAnsi="Calibri" w:cs="Calibri"/>
          <w:color w:val="000000" w:themeColor="text1"/>
        </w:rPr>
        <w:t xml:space="preserve">Preventive health education, including information about prevention of HIV/AIDS, Tuberculosis and Sexually Transmitted Disease; </w:t>
      </w:r>
    </w:p>
    <w:p w14:paraId="747BE534" w14:textId="77777777" w:rsidR="00B74C5E" w:rsidRPr="00B74C5E" w:rsidRDefault="00B74C5E">
      <w:pPr>
        <w:pStyle w:val="ListParagraph"/>
        <w:numPr>
          <w:ilvl w:val="2"/>
          <w:numId w:val="84"/>
        </w:numPr>
        <w:rPr>
          <w:rFonts w:ascii="Calibri" w:hAnsi="Calibri"/>
          <w:color w:val="000000" w:themeColor="text1"/>
        </w:rPr>
      </w:pPr>
      <w:r w:rsidRPr="00B74C5E">
        <w:rPr>
          <w:rFonts w:ascii="Calibri" w:hAnsi="Calibri" w:cs="Calibri"/>
          <w:color w:val="000000" w:themeColor="text1"/>
        </w:rPr>
        <w:t xml:space="preserve">Substance abuse and mental health counseling; </w:t>
      </w:r>
    </w:p>
    <w:p w14:paraId="4D54D647" w14:textId="77777777" w:rsidR="00B74C5E" w:rsidRPr="00B74C5E" w:rsidRDefault="00B74C5E">
      <w:pPr>
        <w:pStyle w:val="ListParagraph"/>
        <w:numPr>
          <w:ilvl w:val="2"/>
          <w:numId w:val="84"/>
        </w:numPr>
        <w:rPr>
          <w:rFonts w:ascii="Calibri" w:hAnsi="Calibri"/>
          <w:color w:val="000000" w:themeColor="text1"/>
        </w:rPr>
      </w:pPr>
      <w:r w:rsidRPr="00B74C5E">
        <w:rPr>
          <w:rFonts w:ascii="Calibri" w:hAnsi="Calibri" w:cs="Calibri"/>
          <w:color w:val="000000" w:themeColor="text1"/>
        </w:rPr>
        <w:t xml:space="preserve">Support groups; </w:t>
      </w:r>
    </w:p>
    <w:p w14:paraId="76424013" w14:textId="77777777" w:rsidR="00B74C5E" w:rsidRPr="00B74C5E" w:rsidRDefault="00B74C5E">
      <w:pPr>
        <w:pStyle w:val="ListParagraph"/>
        <w:numPr>
          <w:ilvl w:val="2"/>
          <w:numId w:val="84"/>
        </w:numPr>
        <w:rPr>
          <w:rFonts w:ascii="Calibri" w:hAnsi="Calibri"/>
          <w:color w:val="000000" w:themeColor="text1"/>
        </w:rPr>
      </w:pPr>
      <w:r w:rsidRPr="00B74C5E">
        <w:rPr>
          <w:rFonts w:ascii="Calibri" w:hAnsi="Calibri" w:cs="Calibri"/>
          <w:color w:val="000000" w:themeColor="text1"/>
        </w:rPr>
        <w:t xml:space="preserve">Structured social/recreational activities; </w:t>
      </w:r>
    </w:p>
    <w:p w14:paraId="4E9783C2" w14:textId="77777777" w:rsidR="00B74C5E" w:rsidRPr="00B74C5E" w:rsidRDefault="00B74C5E">
      <w:pPr>
        <w:pStyle w:val="ListParagraph"/>
        <w:numPr>
          <w:ilvl w:val="2"/>
          <w:numId w:val="84"/>
        </w:numPr>
        <w:rPr>
          <w:rFonts w:ascii="Calibri" w:hAnsi="Calibri"/>
          <w:color w:val="000000" w:themeColor="text1"/>
        </w:rPr>
      </w:pPr>
      <w:r w:rsidRPr="00B74C5E">
        <w:rPr>
          <w:rFonts w:ascii="Calibri" w:hAnsi="Calibri" w:cs="Calibri"/>
          <w:color w:val="000000" w:themeColor="text1"/>
        </w:rPr>
        <w:t xml:space="preserve">Parenting education; </w:t>
      </w:r>
    </w:p>
    <w:p w14:paraId="0005AC3B" w14:textId="77777777" w:rsidR="00B74C5E" w:rsidRPr="00B74C5E" w:rsidRDefault="00B74C5E">
      <w:pPr>
        <w:pStyle w:val="ListParagraph"/>
        <w:numPr>
          <w:ilvl w:val="2"/>
          <w:numId w:val="84"/>
        </w:numPr>
        <w:rPr>
          <w:rFonts w:ascii="Calibri" w:hAnsi="Calibri"/>
          <w:color w:val="000000" w:themeColor="text1"/>
        </w:rPr>
      </w:pPr>
      <w:r w:rsidRPr="00B74C5E">
        <w:rPr>
          <w:rFonts w:ascii="Calibri" w:hAnsi="Calibri" w:cs="Calibri"/>
          <w:color w:val="000000" w:themeColor="text1"/>
        </w:rPr>
        <w:t xml:space="preserve">Job referral and placement; </w:t>
      </w:r>
    </w:p>
    <w:p w14:paraId="2D7BC3FB" w14:textId="77777777" w:rsidR="00B74C5E" w:rsidRPr="00B74C5E" w:rsidRDefault="00B74C5E">
      <w:pPr>
        <w:pStyle w:val="ListParagraph"/>
        <w:numPr>
          <w:ilvl w:val="2"/>
          <w:numId w:val="84"/>
        </w:numPr>
        <w:rPr>
          <w:rFonts w:ascii="Calibri" w:hAnsi="Calibri"/>
          <w:color w:val="000000" w:themeColor="text1"/>
        </w:rPr>
      </w:pPr>
      <w:r w:rsidRPr="00B74C5E">
        <w:rPr>
          <w:rFonts w:ascii="Calibri" w:hAnsi="Calibri" w:cs="Calibri"/>
          <w:color w:val="000000" w:themeColor="text1"/>
        </w:rPr>
        <w:t xml:space="preserve">Childcare; </w:t>
      </w:r>
    </w:p>
    <w:p w14:paraId="0CAE882A" w14:textId="77777777" w:rsidR="00B74C5E" w:rsidRPr="00B74C5E" w:rsidRDefault="00B74C5E">
      <w:pPr>
        <w:pStyle w:val="ListParagraph"/>
        <w:numPr>
          <w:ilvl w:val="2"/>
          <w:numId w:val="84"/>
        </w:numPr>
        <w:rPr>
          <w:rFonts w:ascii="Calibri" w:hAnsi="Calibri"/>
          <w:color w:val="000000" w:themeColor="text1"/>
        </w:rPr>
      </w:pPr>
      <w:r w:rsidRPr="00B74C5E">
        <w:rPr>
          <w:rFonts w:ascii="Calibri" w:hAnsi="Calibri" w:cs="Calibri"/>
          <w:color w:val="000000" w:themeColor="text1"/>
        </w:rPr>
        <w:t xml:space="preserve">Transportation; </w:t>
      </w:r>
    </w:p>
    <w:p w14:paraId="0BB54905" w14:textId="77777777" w:rsidR="00B74C5E" w:rsidRPr="00B74C5E" w:rsidRDefault="00B74C5E">
      <w:pPr>
        <w:pStyle w:val="ListParagraph"/>
        <w:numPr>
          <w:ilvl w:val="2"/>
          <w:numId w:val="84"/>
        </w:numPr>
        <w:rPr>
          <w:rFonts w:ascii="Calibri" w:hAnsi="Calibri"/>
          <w:color w:val="000000" w:themeColor="text1"/>
        </w:rPr>
      </w:pPr>
      <w:r w:rsidRPr="00B74C5E">
        <w:rPr>
          <w:rFonts w:ascii="Calibri" w:hAnsi="Calibri" w:cs="Calibri"/>
          <w:color w:val="000000" w:themeColor="text1"/>
        </w:rPr>
        <w:t xml:space="preserve">Domestic violence counseling; and </w:t>
      </w:r>
    </w:p>
    <w:p w14:paraId="19B79753" w14:textId="1EAA70C7" w:rsidR="00B74C5E" w:rsidRPr="00B74C5E" w:rsidRDefault="00B74C5E">
      <w:pPr>
        <w:pStyle w:val="ListParagraph"/>
        <w:numPr>
          <w:ilvl w:val="2"/>
          <w:numId w:val="84"/>
        </w:numPr>
        <w:rPr>
          <w:rFonts w:ascii="Calibri" w:hAnsi="Calibri"/>
          <w:color w:val="000000" w:themeColor="text1"/>
        </w:rPr>
      </w:pPr>
      <w:r w:rsidRPr="00B74C5E">
        <w:rPr>
          <w:rFonts w:ascii="Calibri" w:hAnsi="Calibri" w:cs="Calibri"/>
          <w:color w:val="000000" w:themeColor="text1"/>
        </w:rPr>
        <w:t>Other appropriate services as necessary to support the goal of connecting clients to sustainable permanent housing.</w:t>
      </w:r>
    </w:p>
    <w:p w14:paraId="4AC9D44F" w14:textId="77777777" w:rsidR="00B74C5E" w:rsidRPr="003E2AD2" w:rsidRDefault="00B74C5E" w:rsidP="00B74C5E">
      <w:pPr>
        <w:contextualSpacing/>
        <w:rPr>
          <w:rFonts w:ascii="Calibri" w:hAnsi="Calibri" w:cs="Calibri"/>
          <w:color w:val="000000" w:themeColor="text1"/>
        </w:rPr>
      </w:pPr>
    </w:p>
    <w:p w14:paraId="7F406C67" w14:textId="06AB316F" w:rsidR="00B74C5E" w:rsidRDefault="00B74C5E" w:rsidP="00B74C5E">
      <w:pPr>
        <w:pStyle w:val="ListParagraph"/>
        <w:ind w:left="1440"/>
        <w:rPr>
          <w:rFonts w:ascii="Calibri" w:hAnsi="Calibri"/>
          <w:color w:val="000000" w:themeColor="text1"/>
          <w:sz w:val="20"/>
          <w:szCs w:val="21"/>
        </w:rPr>
      </w:pPr>
    </w:p>
    <w:p w14:paraId="70941B61" w14:textId="610DEB08" w:rsidR="00580081" w:rsidRDefault="00580081" w:rsidP="00B74C5E">
      <w:pPr>
        <w:pStyle w:val="ListParagraph"/>
        <w:ind w:left="1440"/>
        <w:rPr>
          <w:rFonts w:ascii="Calibri" w:hAnsi="Calibri"/>
          <w:color w:val="000000" w:themeColor="text1"/>
          <w:sz w:val="20"/>
          <w:szCs w:val="21"/>
        </w:rPr>
      </w:pPr>
    </w:p>
    <w:p w14:paraId="6DFE8691" w14:textId="77777777" w:rsidR="00580081" w:rsidRPr="003E2AD2" w:rsidRDefault="00580081" w:rsidP="00B74C5E">
      <w:pPr>
        <w:pStyle w:val="ListParagraph"/>
        <w:ind w:left="1440"/>
        <w:rPr>
          <w:rFonts w:ascii="Calibri" w:hAnsi="Calibri"/>
          <w:color w:val="000000" w:themeColor="text1"/>
          <w:sz w:val="20"/>
          <w:szCs w:val="21"/>
        </w:rPr>
      </w:pPr>
    </w:p>
    <w:p w14:paraId="658BA95F" w14:textId="4B1EE29D" w:rsidR="00B74C5E" w:rsidRPr="003E2AD2" w:rsidRDefault="00B74C5E">
      <w:pPr>
        <w:pStyle w:val="Heading2"/>
        <w:numPr>
          <w:ilvl w:val="0"/>
          <w:numId w:val="79"/>
        </w:numPr>
        <w:spacing w:before="0" w:line="240" w:lineRule="auto"/>
        <w:contextualSpacing/>
        <w:rPr>
          <w:color w:val="000000" w:themeColor="text1"/>
        </w:rPr>
      </w:pPr>
      <w:bookmarkStart w:id="179" w:name="_Toc124255086"/>
      <w:r>
        <w:rPr>
          <w:color w:val="000000" w:themeColor="text1"/>
        </w:rPr>
        <w:t>Duration of Assistance</w:t>
      </w:r>
      <w:bookmarkEnd w:id="179"/>
    </w:p>
    <w:p w14:paraId="39ED8864" w14:textId="4ADDCFC7" w:rsidR="00B74C5E" w:rsidRPr="00B74C5E" w:rsidRDefault="00B74C5E">
      <w:pPr>
        <w:pStyle w:val="ListParagraph"/>
        <w:numPr>
          <w:ilvl w:val="0"/>
          <w:numId w:val="85"/>
        </w:numPr>
        <w:rPr>
          <w:rFonts w:ascii="Calibri" w:hAnsi="Calibri"/>
          <w:color w:val="000000" w:themeColor="text1"/>
        </w:rPr>
      </w:pPr>
      <w:r w:rsidRPr="00B74C5E">
        <w:rPr>
          <w:rFonts w:ascii="Calibri" w:hAnsi="Calibri" w:cs="Calibri"/>
          <w:color w:val="000000" w:themeColor="text1"/>
        </w:rPr>
        <w:t xml:space="preserve">Except in extenuating circumstances, households will exit transitional housing to permanent housing within 24 months. </w:t>
      </w:r>
    </w:p>
    <w:p w14:paraId="095B7111" w14:textId="77777777" w:rsidR="00B74C5E" w:rsidRPr="00B74C5E" w:rsidRDefault="00B74C5E">
      <w:pPr>
        <w:pStyle w:val="ListParagraph"/>
        <w:numPr>
          <w:ilvl w:val="2"/>
          <w:numId w:val="85"/>
        </w:numPr>
        <w:rPr>
          <w:rFonts w:ascii="Calibri" w:hAnsi="Calibri"/>
          <w:color w:val="000000" w:themeColor="text1"/>
        </w:rPr>
      </w:pPr>
      <w:r w:rsidRPr="00B74C5E">
        <w:rPr>
          <w:rFonts w:ascii="Calibri" w:hAnsi="Calibri" w:cs="Calibri"/>
          <w:color w:val="000000" w:themeColor="text1"/>
        </w:rPr>
        <w:t xml:space="preserve">Local examples of extenuating circumstances include situations in which a household is anticipated to be connected with permanent housing quickly; if the household has a 990 and is having difficulty locating housing as result; and if a household’s sobriety could be compromised by a return to homelessness. </w:t>
      </w:r>
    </w:p>
    <w:p w14:paraId="633DE115" w14:textId="77777777" w:rsidR="00B74C5E" w:rsidRPr="00B74C5E" w:rsidRDefault="00B74C5E">
      <w:pPr>
        <w:pStyle w:val="ListParagraph"/>
        <w:numPr>
          <w:ilvl w:val="0"/>
          <w:numId w:val="85"/>
        </w:numPr>
        <w:rPr>
          <w:rFonts w:ascii="Calibri" w:hAnsi="Calibri"/>
          <w:color w:val="000000" w:themeColor="text1"/>
        </w:rPr>
      </w:pPr>
      <w:r w:rsidRPr="00B74C5E">
        <w:rPr>
          <w:rFonts w:ascii="Calibri" w:hAnsi="Calibri" w:cs="Calibri"/>
          <w:color w:val="000000" w:themeColor="text1"/>
        </w:rPr>
        <w:t xml:space="preserve">Transitional housing households are not involuntarily discharged without due process and the opportunity to resolve issues. </w:t>
      </w:r>
    </w:p>
    <w:p w14:paraId="689626DD" w14:textId="1843270D" w:rsidR="00B74C5E" w:rsidRPr="00B74C5E" w:rsidRDefault="00B74C5E">
      <w:pPr>
        <w:pStyle w:val="ListParagraph"/>
        <w:numPr>
          <w:ilvl w:val="2"/>
          <w:numId w:val="85"/>
        </w:numPr>
        <w:rPr>
          <w:rFonts w:ascii="Calibri" w:hAnsi="Calibri"/>
          <w:color w:val="000000" w:themeColor="text1"/>
        </w:rPr>
      </w:pPr>
      <w:r w:rsidRPr="00B74C5E">
        <w:rPr>
          <w:rFonts w:ascii="Calibri" w:hAnsi="Calibri" w:cs="Calibri"/>
          <w:color w:val="000000" w:themeColor="text1"/>
        </w:rPr>
        <w:t>Please see “Standards for Termination of Assistance and Grievance Procedure” (pg. 13-14).</w:t>
      </w:r>
    </w:p>
    <w:p w14:paraId="635DD183" w14:textId="77777777" w:rsidR="00B74C5E" w:rsidRPr="003E2AD2" w:rsidRDefault="00B74C5E" w:rsidP="00B74C5E">
      <w:pPr>
        <w:contextualSpacing/>
        <w:rPr>
          <w:rFonts w:ascii="Calibri" w:hAnsi="Calibri" w:cs="Calibri"/>
          <w:color w:val="000000" w:themeColor="text1"/>
        </w:rPr>
      </w:pPr>
    </w:p>
    <w:p w14:paraId="14B22F3B" w14:textId="12CAADF2" w:rsidR="00B74C5E" w:rsidRDefault="00B74C5E" w:rsidP="00BF1A00">
      <w:pPr>
        <w:contextualSpacing/>
        <w:rPr>
          <w:rFonts w:ascii="Calibri" w:hAnsi="Calibri" w:cs="Calibri"/>
          <w:color w:val="000000" w:themeColor="text1"/>
          <w:highlight w:val="lightGray"/>
        </w:rPr>
      </w:pPr>
    </w:p>
    <w:p w14:paraId="047FE9A5" w14:textId="3A33126B" w:rsidR="00B74C5E" w:rsidRDefault="00B74C5E" w:rsidP="00BF1A00">
      <w:pPr>
        <w:contextualSpacing/>
        <w:rPr>
          <w:rFonts w:ascii="Calibri" w:hAnsi="Calibri" w:cs="Calibri"/>
          <w:color w:val="000000" w:themeColor="text1"/>
          <w:highlight w:val="lightGray"/>
        </w:rPr>
      </w:pPr>
    </w:p>
    <w:p w14:paraId="67830714" w14:textId="77777777" w:rsidR="00BF1A00" w:rsidRPr="00A76818" w:rsidRDefault="00BF1A00" w:rsidP="00BF1A00">
      <w:pPr>
        <w:contextualSpacing/>
        <w:rPr>
          <w:rFonts w:ascii="Calibri" w:hAnsi="Calibri" w:cs="Calibri"/>
          <w:color w:val="000000" w:themeColor="text1"/>
        </w:rPr>
      </w:pPr>
    </w:p>
    <w:p w14:paraId="28B383F3" w14:textId="77777777" w:rsidR="00BF1A00" w:rsidRPr="00A76818" w:rsidRDefault="00BF1A00" w:rsidP="00BF1A00">
      <w:pPr>
        <w:contextualSpacing/>
        <w:rPr>
          <w:rFonts w:ascii="Calibri" w:hAnsi="Calibri" w:cs="Calibri"/>
          <w:color w:val="000000" w:themeColor="text1"/>
        </w:rPr>
      </w:pPr>
    </w:p>
    <w:p w14:paraId="607C4825" w14:textId="77777777" w:rsidR="00BF1A00" w:rsidRPr="00A76818" w:rsidRDefault="00BF1A00" w:rsidP="000604EE">
      <w:pPr>
        <w:contextualSpacing/>
        <w:rPr>
          <w:rFonts w:ascii="Calibri" w:hAnsi="Calibri" w:cs="Calibri"/>
          <w:color w:val="000000" w:themeColor="text1"/>
        </w:rPr>
      </w:pPr>
    </w:p>
    <w:p w14:paraId="7FD7DC59" w14:textId="1F77B6EC" w:rsidR="00F25D2F" w:rsidRDefault="00BF1A00">
      <w:pPr>
        <w:spacing w:after="200" w:line="276" w:lineRule="auto"/>
        <w:rPr>
          <w:rFonts w:ascii="Calibri" w:hAnsi="Calibri" w:cs="Calibri"/>
          <w:smallCaps/>
          <w:color w:val="000000" w:themeColor="text1"/>
          <w:spacing w:val="5"/>
          <w:sz w:val="40"/>
          <w:szCs w:val="40"/>
          <w:highlight w:val="yellow"/>
          <w:u w:val="single"/>
        </w:rPr>
      </w:pPr>
      <w:r>
        <w:rPr>
          <w:rFonts w:ascii="Calibri" w:hAnsi="Calibri" w:cs="Calibri"/>
          <w:smallCaps/>
          <w:color w:val="000000" w:themeColor="text1"/>
          <w:spacing w:val="5"/>
          <w:sz w:val="40"/>
          <w:szCs w:val="40"/>
          <w:highlight w:val="yellow"/>
          <w:u w:val="single"/>
        </w:rPr>
        <w:br w:type="page"/>
      </w:r>
    </w:p>
    <w:p w14:paraId="3CAFD9ED" w14:textId="4F7EF411" w:rsidR="00F25D2F" w:rsidRPr="0061434B" w:rsidRDefault="00F25D2F" w:rsidP="00F25D2F">
      <w:pPr>
        <w:pStyle w:val="Heading1"/>
        <w:rPr>
          <w:b/>
          <w:bCs/>
          <w:color w:val="0070C0"/>
        </w:rPr>
      </w:pPr>
      <w:bookmarkStart w:id="180" w:name="_Toc124255087"/>
      <w:r w:rsidRPr="0061434B">
        <w:rPr>
          <w:b/>
          <w:bCs/>
          <w:color w:val="0070C0"/>
        </w:rPr>
        <w:lastRenderedPageBreak/>
        <w:t>Guidelines for Homeless Emergency Aid Program (HEAP)</w:t>
      </w:r>
      <w:bookmarkEnd w:id="180"/>
    </w:p>
    <w:p w14:paraId="41481E8E" w14:textId="77777777" w:rsidR="00F25D2F" w:rsidRPr="0061434B" w:rsidRDefault="00F25D2F">
      <w:pPr>
        <w:pStyle w:val="Heading2"/>
        <w:numPr>
          <w:ilvl w:val="0"/>
          <w:numId w:val="110"/>
        </w:numPr>
        <w:spacing w:before="0" w:line="240" w:lineRule="auto"/>
        <w:contextualSpacing/>
        <w:rPr>
          <w:color w:val="0070C0"/>
        </w:rPr>
      </w:pPr>
      <w:bookmarkStart w:id="181" w:name="_Toc124255088"/>
      <w:r w:rsidRPr="0061434B">
        <w:rPr>
          <w:color w:val="0070C0"/>
        </w:rPr>
        <w:t>Introduction</w:t>
      </w:r>
      <w:bookmarkEnd w:id="181"/>
      <w:r w:rsidRPr="0061434B">
        <w:rPr>
          <w:color w:val="0070C0"/>
        </w:rPr>
        <w:t xml:space="preserve"> </w:t>
      </w:r>
    </w:p>
    <w:p w14:paraId="22C92B41" w14:textId="77777777" w:rsidR="00F25D2F" w:rsidRPr="00F25D2F" w:rsidRDefault="00F25D2F">
      <w:pPr>
        <w:pStyle w:val="ListParagraph"/>
        <w:numPr>
          <w:ilvl w:val="0"/>
          <w:numId w:val="111"/>
        </w:numPr>
        <w:rPr>
          <w:rFonts w:ascii="Calibri" w:hAnsi="Calibri"/>
          <w:color w:val="000000" w:themeColor="text1"/>
        </w:rPr>
      </w:pPr>
      <w:r w:rsidRPr="00F25D2F">
        <w:rPr>
          <w:rFonts w:ascii="Calibri" w:hAnsi="Calibri"/>
          <w:color w:val="000000" w:themeColor="text1"/>
        </w:rPr>
        <w:t xml:space="preserve">HEAP is a one-time aid program through the state of California, intended to provide immediate, one-time, flexible funding to CoCs to address the homelessness crisis throughout California. </w:t>
      </w:r>
    </w:p>
    <w:p w14:paraId="06C9160A" w14:textId="0441245B" w:rsidR="00F25D2F" w:rsidRPr="00F25D2F" w:rsidRDefault="00F25D2F">
      <w:pPr>
        <w:pStyle w:val="ListParagraph"/>
        <w:numPr>
          <w:ilvl w:val="0"/>
          <w:numId w:val="111"/>
        </w:numPr>
        <w:rPr>
          <w:rFonts w:ascii="Calibri" w:hAnsi="Calibri"/>
          <w:color w:val="000000" w:themeColor="text1"/>
        </w:rPr>
      </w:pPr>
      <w:r w:rsidRPr="00F25D2F">
        <w:rPr>
          <w:rFonts w:ascii="Calibri" w:hAnsi="Calibri"/>
          <w:color w:val="000000" w:themeColor="text1"/>
        </w:rPr>
        <w:t xml:space="preserve">HEAP is administered through the California Homeless Coordinating and Financing Council (HCFC). More information about programming can be found here: </w:t>
      </w:r>
      <w:hyperlink r:id="rId28" w:history="1">
        <w:r w:rsidRPr="00F25D2F">
          <w:rPr>
            <w:rStyle w:val="Hyperlink"/>
            <w:rFonts w:ascii="Calibri" w:hAnsi="Calibri"/>
            <w:color w:val="000000" w:themeColor="text1"/>
          </w:rPr>
          <w:t>Business, Consumer Services and Housing Agency HCFC website.</w:t>
        </w:r>
      </w:hyperlink>
    </w:p>
    <w:p w14:paraId="6B5F390C" w14:textId="0BAF4B01" w:rsidR="00F25D2F" w:rsidRPr="00F25D2F" w:rsidRDefault="00F25D2F">
      <w:pPr>
        <w:pStyle w:val="ListParagraph"/>
        <w:numPr>
          <w:ilvl w:val="0"/>
          <w:numId w:val="111"/>
        </w:numPr>
        <w:rPr>
          <w:rFonts w:ascii="Calibri" w:hAnsi="Calibri"/>
          <w:color w:val="000000" w:themeColor="text1"/>
        </w:rPr>
      </w:pPr>
      <w:r w:rsidRPr="00F25D2F">
        <w:rPr>
          <w:rFonts w:ascii="Calibri" w:hAnsi="Calibri"/>
          <w:color w:val="000000" w:themeColor="text1"/>
          <w:u w:val="single"/>
        </w:rPr>
        <w:t>In the CSCoC</w:t>
      </w:r>
      <w:r w:rsidRPr="00F25D2F">
        <w:rPr>
          <w:rFonts w:ascii="Calibri" w:hAnsi="Calibri"/>
          <w:color w:val="000000" w:themeColor="text1"/>
        </w:rPr>
        <w:t>, HEAP funding is being used to fund capital improvements, showers, wash stations, emergency food kits, and tiny cabins for individuals experiencing homelessness or at risk of homelessness. HEAP funding is also being used to fund encampment clean ups done by law enforcement.</w:t>
      </w:r>
    </w:p>
    <w:p w14:paraId="3F1C8323" w14:textId="77777777" w:rsidR="00F25D2F" w:rsidRPr="00F25D2F" w:rsidRDefault="00F25D2F" w:rsidP="00F25D2F">
      <w:pPr>
        <w:contextualSpacing/>
        <w:rPr>
          <w:rFonts w:ascii="Calibri" w:hAnsi="Calibri" w:cs="Calibri"/>
          <w:color w:val="000000" w:themeColor="text1"/>
        </w:rPr>
      </w:pPr>
    </w:p>
    <w:p w14:paraId="43DFA045" w14:textId="77777777" w:rsidR="00F25D2F" w:rsidRPr="0061434B" w:rsidRDefault="00F25D2F">
      <w:pPr>
        <w:pStyle w:val="Heading2"/>
        <w:numPr>
          <w:ilvl w:val="0"/>
          <w:numId w:val="110"/>
        </w:numPr>
        <w:spacing w:before="0" w:line="240" w:lineRule="auto"/>
        <w:contextualSpacing/>
        <w:rPr>
          <w:color w:val="0070C0"/>
        </w:rPr>
      </w:pPr>
      <w:bookmarkStart w:id="182" w:name="_Toc124255089"/>
      <w:r w:rsidRPr="0061434B">
        <w:rPr>
          <w:color w:val="0070C0"/>
        </w:rPr>
        <w:t>Eligibility</w:t>
      </w:r>
      <w:bookmarkEnd w:id="182"/>
      <w:r w:rsidRPr="0061434B">
        <w:rPr>
          <w:color w:val="0070C0"/>
        </w:rPr>
        <w:t xml:space="preserve"> </w:t>
      </w:r>
    </w:p>
    <w:p w14:paraId="751446A3" w14:textId="23049482" w:rsidR="00F25D2F" w:rsidRPr="00F25D2F" w:rsidRDefault="00F25D2F">
      <w:pPr>
        <w:pStyle w:val="ListParagraph"/>
        <w:numPr>
          <w:ilvl w:val="0"/>
          <w:numId w:val="112"/>
        </w:numPr>
        <w:rPr>
          <w:rFonts w:ascii="Calibri" w:hAnsi="Calibri"/>
          <w:color w:val="000000" w:themeColor="text1"/>
        </w:rPr>
      </w:pPr>
      <w:r w:rsidRPr="00F25D2F">
        <w:rPr>
          <w:rFonts w:ascii="Calibri" w:hAnsi="Calibri"/>
          <w:color w:val="000000" w:themeColor="text1"/>
        </w:rPr>
        <w:t xml:space="preserve">HEAP funding can only be used to serve households </w:t>
      </w:r>
      <w:r w:rsidRPr="00F25D2F">
        <w:rPr>
          <w:rFonts w:ascii="Calibri" w:hAnsi="Calibri"/>
          <w:color w:val="000000" w:themeColor="text1"/>
          <w:u w:val="single"/>
        </w:rPr>
        <w:t>experiencing homelessness</w:t>
      </w:r>
      <w:r w:rsidRPr="00F25D2F">
        <w:rPr>
          <w:rFonts w:ascii="Calibri" w:hAnsi="Calibri"/>
          <w:color w:val="000000" w:themeColor="text1"/>
        </w:rPr>
        <w:t xml:space="preserve"> or </w:t>
      </w:r>
      <w:r w:rsidRPr="00F25D2F">
        <w:rPr>
          <w:rFonts w:ascii="Calibri" w:hAnsi="Calibri"/>
          <w:color w:val="000000" w:themeColor="text1"/>
          <w:u w:val="single"/>
        </w:rPr>
        <w:t>at imminent risk of homelessness</w:t>
      </w:r>
      <w:r w:rsidRPr="00F25D2F">
        <w:rPr>
          <w:rFonts w:ascii="Calibri" w:hAnsi="Calibri"/>
          <w:color w:val="000000" w:themeColor="text1"/>
        </w:rPr>
        <w:t>.</w:t>
      </w:r>
    </w:p>
    <w:p w14:paraId="01C215C6" w14:textId="3AC0FCE3" w:rsidR="00F25D2F" w:rsidRPr="00F25D2F" w:rsidRDefault="00F25D2F">
      <w:pPr>
        <w:pStyle w:val="ListParagraph"/>
        <w:numPr>
          <w:ilvl w:val="0"/>
          <w:numId w:val="112"/>
        </w:numPr>
        <w:rPr>
          <w:rFonts w:ascii="Calibri" w:hAnsi="Calibri"/>
          <w:color w:val="000000" w:themeColor="text1"/>
        </w:rPr>
      </w:pPr>
      <w:r w:rsidRPr="00F25D2F">
        <w:rPr>
          <w:rFonts w:ascii="Calibri" w:hAnsi="Calibri"/>
          <w:color w:val="000000" w:themeColor="text1"/>
        </w:rPr>
        <w:t>At least 5% of HEAP funds must be used to establish or expand services meeting the needs of homeless youth or youth at risk of homelessness.</w:t>
      </w:r>
    </w:p>
    <w:p w14:paraId="6A8E6383" w14:textId="77777777" w:rsidR="00F25D2F" w:rsidRPr="00F25D2F" w:rsidRDefault="00F25D2F">
      <w:pPr>
        <w:pStyle w:val="ListParagraph"/>
        <w:numPr>
          <w:ilvl w:val="1"/>
          <w:numId w:val="114"/>
        </w:numPr>
        <w:rPr>
          <w:rFonts w:ascii="Calibri" w:hAnsi="Calibri"/>
          <w:color w:val="000000" w:themeColor="text1"/>
        </w:rPr>
      </w:pPr>
      <w:r w:rsidRPr="00F25D2F">
        <w:rPr>
          <w:rFonts w:ascii="Calibri" w:hAnsi="Calibri"/>
          <w:color w:val="000000" w:themeColor="text1"/>
        </w:rPr>
        <w:t xml:space="preserve">Consistent with other state and federal definitions, HCFC considers “homeless youth” to mean an unaccompanied homeless individual who is not older than 24, for purposes of HEAP. </w:t>
      </w:r>
    </w:p>
    <w:p w14:paraId="043B8449" w14:textId="77777777" w:rsidR="00F25D2F" w:rsidRPr="00F25D2F" w:rsidRDefault="00F25D2F">
      <w:pPr>
        <w:pStyle w:val="ListParagraph"/>
        <w:numPr>
          <w:ilvl w:val="1"/>
          <w:numId w:val="114"/>
        </w:numPr>
        <w:rPr>
          <w:rFonts w:ascii="Calibri" w:hAnsi="Calibri"/>
          <w:color w:val="000000" w:themeColor="text1"/>
        </w:rPr>
      </w:pPr>
      <w:r w:rsidRPr="00F25D2F">
        <w:rPr>
          <w:rFonts w:ascii="Calibri" w:hAnsi="Calibri"/>
          <w:color w:val="000000" w:themeColor="text1"/>
        </w:rPr>
        <w:t xml:space="preserve">Homeless individuals not older than 24 who are parents are included in this definition. </w:t>
      </w:r>
    </w:p>
    <w:p w14:paraId="18B255DA" w14:textId="7A4EA1F5" w:rsidR="00F25D2F" w:rsidRPr="00F25D2F" w:rsidRDefault="00F25D2F">
      <w:pPr>
        <w:pStyle w:val="ListParagraph"/>
        <w:numPr>
          <w:ilvl w:val="1"/>
          <w:numId w:val="114"/>
        </w:numPr>
        <w:rPr>
          <w:rFonts w:ascii="Calibri" w:hAnsi="Calibri"/>
          <w:color w:val="000000" w:themeColor="text1"/>
        </w:rPr>
      </w:pPr>
      <w:r w:rsidRPr="00F25D2F">
        <w:rPr>
          <w:rFonts w:ascii="Calibri" w:hAnsi="Calibri"/>
          <w:color w:val="000000" w:themeColor="text1"/>
        </w:rPr>
        <w:t>See Appendix E: HUD Definitions of Homelessness (pg. 46) for more information about these definitions.</w:t>
      </w:r>
    </w:p>
    <w:p w14:paraId="73340AB8" w14:textId="6AFB702D" w:rsidR="00F25D2F" w:rsidRPr="00F25D2F" w:rsidRDefault="00F25D2F">
      <w:pPr>
        <w:pStyle w:val="ListParagraph"/>
        <w:numPr>
          <w:ilvl w:val="1"/>
          <w:numId w:val="114"/>
        </w:numPr>
        <w:rPr>
          <w:rFonts w:ascii="Calibri" w:hAnsi="Calibri"/>
          <w:color w:val="000000" w:themeColor="text1"/>
        </w:rPr>
      </w:pPr>
      <w:r w:rsidRPr="00F25D2F">
        <w:rPr>
          <w:rFonts w:ascii="Calibri" w:hAnsi="Calibri"/>
          <w:color w:val="000000" w:themeColor="text1"/>
        </w:rPr>
        <w:t>Please see Appendix F: HUD Record Keeping Requirement (pg. 47) for more information on how to properly document eligibility for HEAP programs.</w:t>
      </w:r>
    </w:p>
    <w:p w14:paraId="4A2C0439" w14:textId="77777777" w:rsidR="00F25D2F" w:rsidRPr="00F25D2F" w:rsidRDefault="00F25D2F" w:rsidP="00F25D2F">
      <w:pPr>
        <w:pStyle w:val="ListParagraph"/>
        <w:ind w:left="1440"/>
        <w:rPr>
          <w:rFonts w:ascii="Calibri" w:hAnsi="Calibri"/>
          <w:color w:val="000000" w:themeColor="text1"/>
          <w:sz w:val="20"/>
          <w:szCs w:val="21"/>
        </w:rPr>
      </w:pPr>
    </w:p>
    <w:p w14:paraId="15AADC72" w14:textId="374F27DC" w:rsidR="00F25D2F" w:rsidRPr="0061434B" w:rsidRDefault="00F25D2F">
      <w:pPr>
        <w:pStyle w:val="Heading2"/>
        <w:numPr>
          <w:ilvl w:val="0"/>
          <w:numId w:val="110"/>
        </w:numPr>
        <w:spacing w:before="0" w:line="240" w:lineRule="auto"/>
        <w:contextualSpacing/>
        <w:rPr>
          <w:color w:val="0070C0"/>
        </w:rPr>
      </w:pPr>
      <w:bookmarkStart w:id="183" w:name="_Toc124255090"/>
      <w:r w:rsidRPr="0061434B">
        <w:rPr>
          <w:color w:val="0070C0"/>
        </w:rPr>
        <w:t>Additional Guidance</w:t>
      </w:r>
      <w:bookmarkEnd w:id="183"/>
      <w:r w:rsidRPr="0061434B">
        <w:rPr>
          <w:color w:val="0070C0"/>
        </w:rPr>
        <w:t xml:space="preserve"> </w:t>
      </w:r>
    </w:p>
    <w:p w14:paraId="56D7BDCE" w14:textId="3A7075F4" w:rsidR="00F25D2F" w:rsidRPr="00F25D2F" w:rsidRDefault="00F25D2F">
      <w:pPr>
        <w:pStyle w:val="ListParagraph"/>
        <w:numPr>
          <w:ilvl w:val="0"/>
          <w:numId w:val="113"/>
        </w:numPr>
        <w:rPr>
          <w:rFonts w:ascii="Calibri" w:hAnsi="Calibri"/>
          <w:color w:val="000000" w:themeColor="text1"/>
        </w:rPr>
      </w:pPr>
      <w:r w:rsidRPr="00F25D2F">
        <w:rPr>
          <w:rFonts w:ascii="Calibri" w:hAnsi="Calibri"/>
          <w:color w:val="000000" w:themeColor="text1"/>
        </w:rPr>
        <w:t>In the interest of spending down all funds, funds can be shifted among eligible project types with coordination between the CoC, ATCAA (the Administrative Entity), and the service provider.</w:t>
      </w:r>
    </w:p>
    <w:p w14:paraId="4C55B109" w14:textId="77777777" w:rsidR="00F25D2F" w:rsidRPr="00F25D2F" w:rsidRDefault="00F25D2F">
      <w:pPr>
        <w:pStyle w:val="ListParagraph"/>
        <w:numPr>
          <w:ilvl w:val="0"/>
          <w:numId w:val="113"/>
        </w:numPr>
        <w:rPr>
          <w:rFonts w:ascii="Calibri" w:hAnsi="Calibri"/>
          <w:color w:val="000000" w:themeColor="text1"/>
        </w:rPr>
      </w:pPr>
      <w:r w:rsidRPr="00F25D2F">
        <w:rPr>
          <w:rFonts w:ascii="Calibri" w:hAnsi="Calibri" w:cs="Calibri"/>
          <w:color w:val="000000" w:themeColor="text1"/>
        </w:rPr>
        <w:t xml:space="preserve">If a service provider is unable to fully spend down their allotted funds, the funding will be transferred back to the CSCoC, per HEAP guidelines. For the funds being transferred, the county that originally housed the transferred the funds will get priority. </w:t>
      </w:r>
    </w:p>
    <w:p w14:paraId="0769D741" w14:textId="67DE0AEA" w:rsidR="00F25D2F" w:rsidRPr="00F25D2F" w:rsidRDefault="00F25D2F">
      <w:pPr>
        <w:pStyle w:val="ListParagraph"/>
        <w:numPr>
          <w:ilvl w:val="0"/>
          <w:numId w:val="113"/>
        </w:numPr>
        <w:rPr>
          <w:rFonts w:ascii="Calibri" w:hAnsi="Calibri"/>
          <w:color w:val="000000" w:themeColor="text1"/>
        </w:rPr>
      </w:pPr>
      <w:r w:rsidRPr="00F25D2F">
        <w:rPr>
          <w:rFonts w:ascii="Calibri" w:hAnsi="Calibri" w:cs="Calibri"/>
          <w:color w:val="000000" w:themeColor="text1"/>
        </w:rPr>
        <w:t xml:space="preserve">If you are a service provider interested in changing your project or transferring your funds, please refer to the </w:t>
      </w:r>
      <w:hyperlink r:id="rId29" w:history="1">
        <w:r w:rsidRPr="00F25D2F">
          <w:rPr>
            <w:rStyle w:val="Hyperlink"/>
            <w:rFonts w:ascii="Calibri" w:hAnsi="Calibri" w:cs="Calibri"/>
            <w:color w:val="000000" w:themeColor="text1"/>
          </w:rPr>
          <w:t>HEAP Program Guidance Document</w:t>
        </w:r>
      </w:hyperlink>
      <w:r w:rsidRPr="00580081">
        <w:rPr>
          <w:rFonts w:ascii="Calibri" w:hAnsi="Calibri" w:cs="Calibri"/>
          <w:color w:val="000000" w:themeColor="text1"/>
        </w:rPr>
        <w:t xml:space="preserve"> </w:t>
      </w:r>
      <w:r w:rsidRPr="00F25D2F">
        <w:rPr>
          <w:rFonts w:ascii="Calibri" w:hAnsi="Calibri" w:cs="Calibri"/>
          <w:color w:val="000000" w:themeColor="text1"/>
        </w:rPr>
        <w:t>and contact ATCAA.</w:t>
      </w:r>
    </w:p>
    <w:p w14:paraId="2D99711D" w14:textId="39F93ECD" w:rsidR="00F25D2F" w:rsidRPr="00F25D2F" w:rsidRDefault="00F25D2F" w:rsidP="00F25D2F">
      <w:pPr>
        <w:rPr>
          <w:rFonts w:ascii="Calibri" w:hAnsi="Calibri"/>
          <w:color w:val="000000" w:themeColor="text1"/>
        </w:rPr>
      </w:pPr>
    </w:p>
    <w:p w14:paraId="729520E0" w14:textId="1688C0CD" w:rsidR="00F25D2F" w:rsidRDefault="00F25D2F">
      <w:pPr>
        <w:spacing w:after="200" w:line="276" w:lineRule="auto"/>
        <w:rPr>
          <w:rFonts w:ascii="Calibri" w:hAnsi="Calibri" w:cs="Calibri"/>
          <w:color w:val="000000" w:themeColor="text1"/>
        </w:rPr>
      </w:pPr>
      <w:r>
        <w:rPr>
          <w:rFonts w:ascii="Calibri" w:hAnsi="Calibri" w:cs="Calibri"/>
          <w:color w:val="000000" w:themeColor="text1"/>
        </w:rPr>
        <w:br w:type="page"/>
      </w:r>
    </w:p>
    <w:p w14:paraId="5539A0F4" w14:textId="011777CB" w:rsidR="00F25D2F" w:rsidRPr="0061434B" w:rsidRDefault="00F25D2F" w:rsidP="00F25D2F">
      <w:pPr>
        <w:pStyle w:val="Heading1"/>
        <w:rPr>
          <w:b/>
          <w:bCs/>
          <w:color w:val="0070C0"/>
        </w:rPr>
      </w:pPr>
      <w:bookmarkStart w:id="184" w:name="_Toc124255091"/>
      <w:r w:rsidRPr="0061434B">
        <w:rPr>
          <w:b/>
          <w:bCs/>
          <w:color w:val="0070C0"/>
        </w:rPr>
        <w:lastRenderedPageBreak/>
        <w:t>Guidelines for California Emergency Solutions and Housing (CESH)</w:t>
      </w:r>
      <w:bookmarkEnd w:id="184"/>
    </w:p>
    <w:p w14:paraId="1EE099B1" w14:textId="77777777" w:rsidR="00F25D2F" w:rsidRPr="0061434B" w:rsidRDefault="00F25D2F">
      <w:pPr>
        <w:pStyle w:val="Heading2"/>
        <w:numPr>
          <w:ilvl w:val="0"/>
          <w:numId w:val="115"/>
        </w:numPr>
        <w:spacing w:before="0" w:line="240" w:lineRule="auto"/>
        <w:contextualSpacing/>
        <w:rPr>
          <w:color w:val="0070C0"/>
        </w:rPr>
      </w:pPr>
      <w:bookmarkStart w:id="185" w:name="_Toc124255092"/>
      <w:r w:rsidRPr="0061434B">
        <w:rPr>
          <w:color w:val="0070C0"/>
        </w:rPr>
        <w:t>Introduction</w:t>
      </w:r>
      <w:bookmarkEnd w:id="185"/>
      <w:r w:rsidRPr="0061434B">
        <w:rPr>
          <w:color w:val="0070C0"/>
        </w:rPr>
        <w:t xml:space="preserve"> </w:t>
      </w:r>
    </w:p>
    <w:p w14:paraId="2974E81B" w14:textId="13A45FB5" w:rsidR="00F25D2F" w:rsidRPr="00F25D2F" w:rsidRDefault="00F25D2F">
      <w:pPr>
        <w:pStyle w:val="ListParagraph"/>
        <w:numPr>
          <w:ilvl w:val="0"/>
          <w:numId w:val="116"/>
        </w:numPr>
        <w:rPr>
          <w:rFonts w:ascii="Calibri" w:hAnsi="Calibri"/>
          <w:color w:val="000000" w:themeColor="text1"/>
        </w:rPr>
      </w:pPr>
      <w:r w:rsidRPr="00F25D2F">
        <w:rPr>
          <w:rFonts w:ascii="Calibri" w:hAnsi="Calibri"/>
          <w:color w:val="000000" w:themeColor="text1"/>
        </w:rPr>
        <w:t xml:space="preserve">CESH is a one-time aid program through the state of California created to fund a variety of activities to assist households experiencing or at risk of homelessness. </w:t>
      </w:r>
    </w:p>
    <w:p w14:paraId="04F90E42" w14:textId="3B964A74" w:rsidR="00F25D2F" w:rsidRPr="00F25D2F" w:rsidRDefault="00F25D2F">
      <w:pPr>
        <w:pStyle w:val="ListParagraph"/>
        <w:numPr>
          <w:ilvl w:val="0"/>
          <w:numId w:val="116"/>
        </w:numPr>
        <w:rPr>
          <w:rFonts w:ascii="Calibri" w:hAnsi="Calibri"/>
          <w:color w:val="000000" w:themeColor="text1"/>
        </w:rPr>
      </w:pPr>
      <w:r w:rsidRPr="00F25D2F">
        <w:rPr>
          <w:rFonts w:ascii="Calibri" w:hAnsi="Calibri"/>
          <w:color w:val="000000" w:themeColor="text1"/>
        </w:rPr>
        <w:t xml:space="preserve">CESH is administered by the California Department of Housing and Community Development (HCD). More information about the department can be found here: </w:t>
      </w:r>
      <w:hyperlink r:id="rId30" w:history="1">
        <w:r w:rsidRPr="00F25D2F">
          <w:rPr>
            <w:rStyle w:val="Hyperlink"/>
            <w:rFonts w:ascii="Calibri" w:hAnsi="Calibri"/>
            <w:color w:val="000000" w:themeColor="text1"/>
          </w:rPr>
          <w:t>California Department of Housing and Community Development website</w:t>
        </w:r>
      </w:hyperlink>
      <w:r w:rsidRPr="00F25D2F">
        <w:rPr>
          <w:rFonts w:ascii="Calibri" w:hAnsi="Calibri"/>
          <w:color w:val="000000" w:themeColor="text1"/>
        </w:rPr>
        <w:t xml:space="preserve">. </w:t>
      </w:r>
    </w:p>
    <w:p w14:paraId="61A4A12A" w14:textId="4BD05C9B" w:rsidR="00F25D2F" w:rsidRPr="00F25D2F" w:rsidRDefault="00F25D2F">
      <w:pPr>
        <w:pStyle w:val="ListParagraph"/>
        <w:numPr>
          <w:ilvl w:val="0"/>
          <w:numId w:val="116"/>
        </w:numPr>
        <w:rPr>
          <w:rFonts w:ascii="Calibri" w:hAnsi="Calibri"/>
          <w:color w:val="000000" w:themeColor="text1"/>
        </w:rPr>
      </w:pPr>
      <w:r w:rsidRPr="00F25D2F">
        <w:rPr>
          <w:rFonts w:ascii="Calibri" w:hAnsi="Calibri"/>
          <w:color w:val="000000" w:themeColor="text1"/>
          <w:u w:val="single"/>
        </w:rPr>
        <w:t>In the CSCoC</w:t>
      </w:r>
      <w:r w:rsidRPr="00F25D2F">
        <w:rPr>
          <w:rFonts w:ascii="Calibri" w:hAnsi="Calibri"/>
          <w:color w:val="000000" w:themeColor="text1"/>
        </w:rPr>
        <w:t xml:space="preserve">, CESH is being used to fund prevention efforts and to provide Point-in-Time (PIT) count incentives. </w:t>
      </w:r>
    </w:p>
    <w:p w14:paraId="03C7A207" w14:textId="77777777" w:rsidR="00F25D2F" w:rsidRPr="00F25D2F" w:rsidRDefault="00F25D2F" w:rsidP="00F25D2F">
      <w:pPr>
        <w:contextualSpacing/>
        <w:rPr>
          <w:rFonts w:ascii="Calibri" w:hAnsi="Calibri" w:cs="Calibri"/>
          <w:color w:val="000000" w:themeColor="text1"/>
        </w:rPr>
      </w:pPr>
    </w:p>
    <w:p w14:paraId="1C9F8AE3" w14:textId="77777777" w:rsidR="00F25D2F" w:rsidRPr="0061434B" w:rsidRDefault="00F25D2F">
      <w:pPr>
        <w:pStyle w:val="Heading2"/>
        <w:numPr>
          <w:ilvl w:val="0"/>
          <w:numId w:val="115"/>
        </w:numPr>
        <w:spacing w:before="0" w:line="240" w:lineRule="auto"/>
        <w:contextualSpacing/>
        <w:rPr>
          <w:color w:val="0070C0"/>
        </w:rPr>
      </w:pPr>
      <w:bookmarkStart w:id="186" w:name="_Toc124255093"/>
      <w:r w:rsidRPr="0061434B">
        <w:rPr>
          <w:color w:val="0070C0"/>
        </w:rPr>
        <w:t>Eligibility</w:t>
      </w:r>
      <w:bookmarkEnd w:id="186"/>
      <w:r w:rsidRPr="0061434B">
        <w:rPr>
          <w:color w:val="0070C0"/>
        </w:rPr>
        <w:t xml:space="preserve"> </w:t>
      </w:r>
    </w:p>
    <w:p w14:paraId="2F9FDD9D" w14:textId="16CCC044" w:rsidR="00F25D2F" w:rsidRPr="00F25D2F" w:rsidRDefault="00F25D2F">
      <w:pPr>
        <w:pStyle w:val="ListParagraph"/>
        <w:numPr>
          <w:ilvl w:val="0"/>
          <w:numId w:val="117"/>
        </w:numPr>
        <w:rPr>
          <w:rFonts w:ascii="Calibri" w:hAnsi="Calibri"/>
          <w:color w:val="000000" w:themeColor="text1"/>
        </w:rPr>
      </w:pPr>
      <w:r w:rsidRPr="00F25D2F">
        <w:rPr>
          <w:rFonts w:ascii="Calibri" w:hAnsi="Calibri"/>
          <w:color w:val="000000" w:themeColor="text1"/>
        </w:rPr>
        <w:t>At a minimum, households receiving CESH-funded assistance must be experiencing homelessness or at risk of homelessness.</w:t>
      </w:r>
    </w:p>
    <w:p w14:paraId="65EE6C88" w14:textId="77777777" w:rsidR="00F25D2F" w:rsidRPr="00F25D2F" w:rsidRDefault="00F25D2F">
      <w:pPr>
        <w:pStyle w:val="ListParagraph"/>
        <w:numPr>
          <w:ilvl w:val="0"/>
          <w:numId w:val="119"/>
        </w:numPr>
        <w:rPr>
          <w:rFonts w:ascii="Calibri" w:hAnsi="Calibri"/>
          <w:color w:val="000000" w:themeColor="text1"/>
        </w:rPr>
      </w:pPr>
      <w:r w:rsidRPr="00F25D2F">
        <w:rPr>
          <w:rFonts w:ascii="Calibri" w:hAnsi="Calibri"/>
          <w:color w:val="000000" w:themeColor="text1"/>
        </w:rPr>
        <w:t>See Appendix E: HUD Definitions of Homelessness (pg. 46) for more information about these definitions.</w:t>
      </w:r>
    </w:p>
    <w:p w14:paraId="06C6838A" w14:textId="3C7BFA0D" w:rsidR="00F25D2F" w:rsidRPr="00F25D2F" w:rsidRDefault="00F25D2F">
      <w:pPr>
        <w:pStyle w:val="ListParagraph"/>
        <w:numPr>
          <w:ilvl w:val="0"/>
          <w:numId w:val="119"/>
        </w:numPr>
        <w:rPr>
          <w:rFonts w:ascii="Calibri" w:hAnsi="Calibri"/>
          <w:color w:val="000000" w:themeColor="text1"/>
        </w:rPr>
      </w:pPr>
      <w:r w:rsidRPr="00F25D2F">
        <w:rPr>
          <w:rFonts w:ascii="Calibri" w:hAnsi="Calibri"/>
          <w:color w:val="000000" w:themeColor="text1"/>
        </w:rPr>
        <w:t>Please see Appendix F: HUD Record Keeping Requirement (pg. 47) for more information on how to properly document eligibility for CESH programs.</w:t>
      </w:r>
    </w:p>
    <w:p w14:paraId="6E2D3599" w14:textId="55114473" w:rsidR="00F25D2F" w:rsidRPr="00F25D2F" w:rsidRDefault="00F25D2F">
      <w:pPr>
        <w:pStyle w:val="ListParagraph"/>
        <w:numPr>
          <w:ilvl w:val="0"/>
          <w:numId w:val="40"/>
        </w:numPr>
        <w:rPr>
          <w:rFonts w:ascii="Calibri" w:hAnsi="Calibri"/>
          <w:color w:val="000000" w:themeColor="text1"/>
        </w:rPr>
      </w:pPr>
      <w:r w:rsidRPr="00F25D2F">
        <w:rPr>
          <w:rFonts w:ascii="Calibri" w:hAnsi="Calibri"/>
          <w:color w:val="000000" w:themeColor="text1"/>
        </w:rPr>
        <w:t>Per HCD, household eligibility requirements must follow HUD CoC standards for each project type. For example, households participating in a CESH-funded HP program must be at or below 30% AMI when their income in verified at intake.</w:t>
      </w:r>
    </w:p>
    <w:p w14:paraId="024E7435" w14:textId="576CB3B9" w:rsidR="00F25D2F" w:rsidRPr="00F25D2F" w:rsidRDefault="00F25D2F">
      <w:pPr>
        <w:pStyle w:val="ListParagraph"/>
        <w:numPr>
          <w:ilvl w:val="0"/>
          <w:numId w:val="120"/>
        </w:numPr>
        <w:rPr>
          <w:rFonts w:ascii="Calibri" w:hAnsi="Calibri"/>
          <w:color w:val="000000" w:themeColor="text1"/>
        </w:rPr>
      </w:pPr>
      <w:r w:rsidRPr="00F25D2F">
        <w:rPr>
          <w:rFonts w:ascii="Calibri" w:hAnsi="Calibri"/>
          <w:color w:val="000000" w:themeColor="text1"/>
        </w:rPr>
        <w:t>For additional homeless prevention household eligibility requirements, please see the “Standards for Rapid Re-Housing and Homeless Prevention” section on pg. 24-25.</w:t>
      </w:r>
    </w:p>
    <w:p w14:paraId="08B0E85A" w14:textId="77777777" w:rsidR="00F25D2F" w:rsidRPr="00F25D2F" w:rsidRDefault="00F25D2F" w:rsidP="00F25D2F">
      <w:pPr>
        <w:pStyle w:val="ListParagraph"/>
        <w:ind w:left="1440"/>
        <w:rPr>
          <w:rFonts w:ascii="Calibri" w:hAnsi="Calibri"/>
          <w:color w:val="000000" w:themeColor="text1"/>
          <w:sz w:val="20"/>
          <w:szCs w:val="21"/>
        </w:rPr>
      </w:pPr>
    </w:p>
    <w:p w14:paraId="05CE8669" w14:textId="3D16A688" w:rsidR="00F25D2F" w:rsidRPr="0061434B" w:rsidRDefault="00F25D2F">
      <w:pPr>
        <w:pStyle w:val="Heading2"/>
        <w:numPr>
          <w:ilvl w:val="0"/>
          <w:numId w:val="115"/>
        </w:numPr>
        <w:spacing w:before="0" w:line="240" w:lineRule="auto"/>
        <w:contextualSpacing/>
        <w:rPr>
          <w:color w:val="0070C0"/>
        </w:rPr>
      </w:pPr>
      <w:bookmarkStart w:id="187" w:name="_Toc124255094"/>
      <w:r w:rsidRPr="0061434B">
        <w:rPr>
          <w:color w:val="0070C0"/>
        </w:rPr>
        <w:t>Prioritization</w:t>
      </w:r>
      <w:bookmarkEnd w:id="187"/>
      <w:r w:rsidRPr="0061434B">
        <w:rPr>
          <w:color w:val="0070C0"/>
        </w:rPr>
        <w:t xml:space="preserve"> </w:t>
      </w:r>
    </w:p>
    <w:p w14:paraId="5F072915" w14:textId="2A5BF2BB" w:rsidR="00F25D2F" w:rsidRPr="00F25D2F" w:rsidRDefault="00F25D2F">
      <w:pPr>
        <w:pStyle w:val="ListParagraph"/>
        <w:numPr>
          <w:ilvl w:val="0"/>
          <w:numId w:val="118"/>
        </w:numPr>
        <w:rPr>
          <w:rFonts w:ascii="Calibri" w:hAnsi="Calibri"/>
          <w:color w:val="000000" w:themeColor="text1"/>
        </w:rPr>
      </w:pPr>
      <w:r w:rsidRPr="00F25D2F">
        <w:rPr>
          <w:rFonts w:ascii="Calibri" w:hAnsi="Calibri"/>
          <w:color w:val="000000" w:themeColor="text1"/>
        </w:rPr>
        <w:t xml:space="preserve">Per the ATCAA contracting process, CESH service providers are required to follow the CSCoC prioritization scheme for homelessness prevention. </w:t>
      </w:r>
    </w:p>
    <w:p w14:paraId="247BB3AC" w14:textId="0488F287" w:rsidR="00F25D2F" w:rsidRPr="00F25D2F" w:rsidRDefault="00F25D2F">
      <w:pPr>
        <w:pStyle w:val="ListParagraph"/>
        <w:numPr>
          <w:ilvl w:val="1"/>
          <w:numId w:val="121"/>
        </w:numPr>
        <w:rPr>
          <w:rFonts w:ascii="Calibri" w:hAnsi="Calibri"/>
          <w:color w:val="000000" w:themeColor="text1"/>
        </w:rPr>
      </w:pPr>
      <w:r w:rsidRPr="00F25D2F">
        <w:rPr>
          <w:rFonts w:ascii="Calibri" w:hAnsi="Calibri"/>
          <w:color w:val="000000" w:themeColor="text1"/>
        </w:rPr>
        <w:t>Please see the “Standards for Rapid Re-Housing and Homeless Prevention” section on pg. 26 for more information about prioritization.</w:t>
      </w:r>
    </w:p>
    <w:p w14:paraId="17593B03" w14:textId="77777777" w:rsidR="00F25D2F" w:rsidRPr="003E2AD2" w:rsidRDefault="00F25D2F" w:rsidP="00F25D2F">
      <w:pPr>
        <w:contextualSpacing/>
        <w:rPr>
          <w:rFonts w:ascii="Calibri" w:hAnsi="Calibri" w:cs="Calibri"/>
          <w:color w:val="000000" w:themeColor="text1"/>
        </w:rPr>
      </w:pPr>
    </w:p>
    <w:p w14:paraId="39B3AAE5" w14:textId="77777777" w:rsidR="00BF1A00" w:rsidRDefault="00BF1A00">
      <w:pPr>
        <w:spacing w:after="200" w:line="276" w:lineRule="auto"/>
        <w:rPr>
          <w:rFonts w:ascii="Calibri" w:hAnsi="Calibri" w:cs="Calibri"/>
          <w:smallCaps/>
          <w:color w:val="000000" w:themeColor="text1"/>
          <w:spacing w:val="5"/>
          <w:sz w:val="40"/>
          <w:szCs w:val="40"/>
          <w:highlight w:val="yellow"/>
          <w:u w:val="single"/>
        </w:rPr>
      </w:pPr>
    </w:p>
    <w:p w14:paraId="13810223" w14:textId="77777777" w:rsidR="00F25D2F" w:rsidRDefault="00F25D2F">
      <w:pPr>
        <w:spacing w:after="200" w:line="276" w:lineRule="auto"/>
        <w:rPr>
          <w:rFonts w:ascii="Calibri" w:hAnsi="Calibri" w:cs="Calibri"/>
          <w:smallCaps/>
          <w:color w:val="000000" w:themeColor="text1"/>
          <w:spacing w:val="5"/>
          <w:sz w:val="40"/>
          <w:szCs w:val="40"/>
          <w:highlight w:val="yellow"/>
          <w:u w:val="single"/>
        </w:rPr>
      </w:pPr>
      <w:r>
        <w:rPr>
          <w:rFonts w:ascii="Calibri" w:hAnsi="Calibri" w:cs="Calibri"/>
          <w:smallCaps/>
          <w:color w:val="000000" w:themeColor="text1"/>
          <w:spacing w:val="5"/>
          <w:sz w:val="40"/>
          <w:szCs w:val="40"/>
          <w:highlight w:val="yellow"/>
          <w:u w:val="single"/>
        </w:rPr>
        <w:br w:type="page"/>
      </w:r>
    </w:p>
    <w:p w14:paraId="6C4B8F3A" w14:textId="2AE4F5BE" w:rsidR="00F25D2F" w:rsidRPr="0061434B" w:rsidRDefault="00F25D2F" w:rsidP="00F25D2F">
      <w:pPr>
        <w:pStyle w:val="Heading1"/>
        <w:rPr>
          <w:b/>
          <w:bCs/>
          <w:color w:val="0070C0"/>
        </w:rPr>
      </w:pPr>
      <w:bookmarkStart w:id="188" w:name="_Toc124255095"/>
      <w:r w:rsidRPr="0061434B">
        <w:rPr>
          <w:b/>
          <w:bCs/>
          <w:color w:val="0070C0"/>
        </w:rPr>
        <w:lastRenderedPageBreak/>
        <w:t>Guidelines For Homeless Housing, Assistance and Prevention Program (HHAP)</w:t>
      </w:r>
      <w:bookmarkEnd w:id="188"/>
    </w:p>
    <w:p w14:paraId="29C2A579" w14:textId="77777777" w:rsidR="00F25D2F" w:rsidRPr="0061434B" w:rsidRDefault="00F25D2F">
      <w:pPr>
        <w:pStyle w:val="Heading2"/>
        <w:numPr>
          <w:ilvl w:val="0"/>
          <w:numId w:val="122"/>
        </w:numPr>
        <w:spacing w:before="0" w:line="240" w:lineRule="auto"/>
        <w:contextualSpacing/>
        <w:rPr>
          <w:color w:val="0070C0"/>
        </w:rPr>
      </w:pPr>
      <w:bookmarkStart w:id="189" w:name="_Toc124255096"/>
      <w:r w:rsidRPr="0061434B">
        <w:rPr>
          <w:color w:val="0070C0"/>
        </w:rPr>
        <w:t>Introduction</w:t>
      </w:r>
      <w:bookmarkEnd w:id="189"/>
      <w:r w:rsidRPr="0061434B">
        <w:rPr>
          <w:color w:val="0070C0"/>
        </w:rPr>
        <w:t xml:space="preserve"> </w:t>
      </w:r>
    </w:p>
    <w:p w14:paraId="2B52E11C" w14:textId="7690B2B6" w:rsidR="00F25D2F" w:rsidRPr="00F25D2F" w:rsidRDefault="00F25D2F">
      <w:pPr>
        <w:pStyle w:val="ListParagraph"/>
        <w:numPr>
          <w:ilvl w:val="0"/>
          <w:numId w:val="123"/>
        </w:numPr>
        <w:rPr>
          <w:rFonts w:ascii="Calibri" w:hAnsi="Calibri"/>
          <w:color w:val="000000" w:themeColor="text1"/>
        </w:rPr>
      </w:pPr>
      <w:r w:rsidRPr="00F25D2F">
        <w:rPr>
          <w:rFonts w:ascii="Calibri" w:hAnsi="Calibri" w:cs="Calibri"/>
        </w:rPr>
        <w:t xml:space="preserve">HHAP program is a California block grant program designed to provide jurisdictions with one-time grant funds to support regional coordination and expand or develop local capacity to address their immediate homelessness challenges. </w:t>
      </w:r>
    </w:p>
    <w:p w14:paraId="2592B3F5" w14:textId="02D98957" w:rsidR="00F25D2F" w:rsidRDefault="00F25D2F">
      <w:pPr>
        <w:pStyle w:val="ListParagraph"/>
        <w:numPr>
          <w:ilvl w:val="0"/>
          <w:numId w:val="123"/>
        </w:numPr>
        <w:rPr>
          <w:rFonts w:ascii="Calibri" w:hAnsi="Calibri"/>
          <w:color w:val="000000" w:themeColor="text1"/>
        </w:rPr>
      </w:pPr>
      <w:r w:rsidRPr="00F25D2F">
        <w:rPr>
          <w:rStyle w:val="Hyperlink"/>
          <w:rFonts w:ascii="Calibri" w:hAnsi="Calibri" w:cs="Calibri"/>
          <w:color w:val="000000" w:themeColor="text1"/>
          <w:u w:val="none"/>
        </w:rPr>
        <w:t>HHAP programs are required to expend funds on evidence-based solutions including, but not limited to, rental assistance, rapid re-housing, operating subsidies, landlord incentives, outreach, coordination, diversion, prevention, and delivery of permanent housing.</w:t>
      </w:r>
      <w:r w:rsidRPr="00F25D2F">
        <w:rPr>
          <w:rFonts w:ascii="Calibri" w:hAnsi="Calibri"/>
          <w:color w:val="000000" w:themeColor="text1"/>
        </w:rPr>
        <w:t xml:space="preserve"> </w:t>
      </w:r>
    </w:p>
    <w:p w14:paraId="6E767531" w14:textId="0742913F" w:rsidR="00580081" w:rsidRPr="00F25D2F" w:rsidRDefault="00580081">
      <w:pPr>
        <w:pStyle w:val="ListParagraph"/>
        <w:numPr>
          <w:ilvl w:val="0"/>
          <w:numId w:val="123"/>
        </w:numPr>
        <w:rPr>
          <w:rFonts w:ascii="Calibri" w:hAnsi="Calibri"/>
          <w:color w:val="000000" w:themeColor="text1"/>
        </w:rPr>
      </w:pPr>
      <w:r>
        <w:rPr>
          <w:rFonts w:ascii="Calibri" w:hAnsi="Calibri"/>
          <w:color w:val="000000" w:themeColor="text1"/>
        </w:rPr>
        <w:t>All forms and Handbook are on the website: centralsierracoc.org</w:t>
      </w:r>
    </w:p>
    <w:p w14:paraId="316E5BF4" w14:textId="77777777" w:rsidR="00F25D2F" w:rsidRPr="00F25D2F" w:rsidRDefault="00F25D2F" w:rsidP="00F25D2F">
      <w:pPr>
        <w:contextualSpacing/>
        <w:rPr>
          <w:rFonts w:ascii="Calibri" w:hAnsi="Calibri" w:cs="Calibri"/>
          <w:color w:val="000000" w:themeColor="text1"/>
        </w:rPr>
      </w:pPr>
    </w:p>
    <w:p w14:paraId="71CA77AE" w14:textId="77777777" w:rsidR="00F25D2F" w:rsidRPr="0061434B" w:rsidRDefault="00F25D2F">
      <w:pPr>
        <w:pStyle w:val="Heading2"/>
        <w:numPr>
          <w:ilvl w:val="0"/>
          <w:numId w:val="122"/>
        </w:numPr>
        <w:spacing w:before="0" w:line="240" w:lineRule="auto"/>
        <w:contextualSpacing/>
        <w:rPr>
          <w:color w:val="0070C0"/>
        </w:rPr>
      </w:pPr>
      <w:bookmarkStart w:id="190" w:name="_Toc124255097"/>
      <w:r w:rsidRPr="0061434B">
        <w:rPr>
          <w:color w:val="0070C0"/>
        </w:rPr>
        <w:t>Eligibility</w:t>
      </w:r>
      <w:bookmarkEnd w:id="190"/>
      <w:r w:rsidRPr="0061434B">
        <w:rPr>
          <w:color w:val="0070C0"/>
        </w:rPr>
        <w:t xml:space="preserve"> </w:t>
      </w:r>
    </w:p>
    <w:p w14:paraId="7F5E3875" w14:textId="1C94DC0F" w:rsidR="00F25D2F" w:rsidRPr="00F25D2F" w:rsidRDefault="00F25D2F">
      <w:pPr>
        <w:pStyle w:val="ListParagraph"/>
        <w:numPr>
          <w:ilvl w:val="0"/>
          <w:numId w:val="124"/>
        </w:numPr>
        <w:rPr>
          <w:rStyle w:val="Hyperlink"/>
          <w:rFonts w:ascii="Calibri" w:hAnsi="Calibri"/>
          <w:color w:val="000000" w:themeColor="text1"/>
          <w:u w:val="none"/>
        </w:rPr>
      </w:pPr>
      <w:r w:rsidRPr="00F25D2F">
        <w:rPr>
          <w:rStyle w:val="Hyperlink"/>
          <w:rFonts w:ascii="Calibri" w:hAnsi="Calibri" w:cs="Calibri"/>
          <w:color w:val="000000" w:themeColor="text1"/>
          <w:u w:val="none"/>
        </w:rPr>
        <w:t>Households must be experiencing homeless, at risk of homelessness, homeless under other federal statues, or fleeing/attempting to flee domestic violence to participate in homeless-facing programs funded by HHAP.</w:t>
      </w:r>
    </w:p>
    <w:p w14:paraId="15CAED17" w14:textId="007F01F0" w:rsidR="00F25D2F" w:rsidRPr="00F25D2F" w:rsidRDefault="00F25D2F">
      <w:pPr>
        <w:pStyle w:val="ListParagraph"/>
        <w:numPr>
          <w:ilvl w:val="1"/>
          <w:numId w:val="127"/>
        </w:numPr>
        <w:rPr>
          <w:rFonts w:ascii="Calibri" w:hAnsi="Calibri"/>
          <w:color w:val="000000" w:themeColor="text1"/>
        </w:rPr>
      </w:pPr>
      <w:r w:rsidRPr="00F25D2F">
        <w:rPr>
          <w:rFonts w:ascii="Calibri" w:hAnsi="Calibri"/>
          <w:color w:val="000000" w:themeColor="text1"/>
        </w:rPr>
        <w:t>See Appendix E: HUD Definitions of Homelessness (pg. 46) for more information about these definitions.</w:t>
      </w:r>
    </w:p>
    <w:p w14:paraId="237A119E" w14:textId="2046E03B" w:rsidR="00F25D2F" w:rsidRPr="00F25D2F" w:rsidRDefault="00F25D2F">
      <w:pPr>
        <w:pStyle w:val="ListParagraph"/>
        <w:numPr>
          <w:ilvl w:val="1"/>
          <w:numId w:val="127"/>
        </w:numPr>
        <w:rPr>
          <w:rStyle w:val="Hyperlink"/>
          <w:rFonts w:ascii="Calibri" w:hAnsi="Calibri"/>
          <w:color w:val="000000" w:themeColor="text1"/>
          <w:u w:val="none"/>
        </w:rPr>
      </w:pPr>
      <w:r w:rsidRPr="00F25D2F">
        <w:rPr>
          <w:rFonts w:ascii="Calibri" w:hAnsi="Calibri"/>
          <w:color w:val="000000" w:themeColor="text1"/>
        </w:rPr>
        <w:t>Please see Appendix F: HUD Record Keeping Requirement (pg. 47), as well as Appendix H: Documentation for Chronic Homelessness (pg. 49-50) for more information on how to properly document eligibility for HHAP programs.</w:t>
      </w:r>
    </w:p>
    <w:p w14:paraId="53AB62BA" w14:textId="173D0FD3" w:rsidR="00F25D2F" w:rsidRPr="00F25D2F" w:rsidRDefault="00F25D2F">
      <w:pPr>
        <w:pStyle w:val="ListParagraph"/>
        <w:numPr>
          <w:ilvl w:val="0"/>
          <w:numId w:val="124"/>
        </w:numPr>
        <w:rPr>
          <w:rStyle w:val="Hyperlink"/>
          <w:rFonts w:ascii="Calibri" w:hAnsi="Calibri"/>
          <w:color w:val="000000" w:themeColor="text1"/>
          <w:u w:val="none"/>
        </w:rPr>
      </w:pPr>
      <w:r w:rsidRPr="00F25D2F">
        <w:rPr>
          <w:rFonts w:ascii="Calibri" w:hAnsi="Calibri"/>
          <w:color w:val="000000" w:themeColor="text1"/>
        </w:rPr>
        <w:t>Per HCD, household eligibility requirements must follow HUD CoC standards for each project type. For example, households participating in a HHAP-funded HP program must be at or below 30% AMI when their income in verified at intake. For more information for eligibility for each project type, please see the following sections:</w:t>
      </w:r>
    </w:p>
    <w:p w14:paraId="5CA8D038" w14:textId="04E142D9" w:rsidR="00F25D2F" w:rsidRPr="00F25D2F" w:rsidRDefault="00F25D2F">
      <w:pPr>
        <w:pStyle w:val="ListParagraph"/>
        <w:numPr>
          <w:ilvl w:val="0"/>
          <w:numId w:val="125"/>
        </w:numPr>
        <w:rPr>
          <w:rFonts w:ascii="Calibri" w:hAnsi="Calibri"/>
          <w:color w:val="000000" w:themeColor="text1"/>
        </w:rPr>
      </w:pPr>
      <w:r w:rsidRPr="00F25D2F">
        <w:rPr>
          <w:rFonts w:ascii="Calibri" w:hAnsi="Calibri"/>
          <w:color w:val="000000" w:themeColor="text1"/>
        </w:rPr>
        <w:t>Emergency Shelter: pg. 19</w:t>
      </w:r>
    </w:p>
    <w:p w14:paraId="03D307CD" w14:textId="7FDCF6E1" w:rsidR="00F25D2F" w:rsidRPr="00F25D2F" w:rsidRDefault="00F25D2F">
      <w:pPr>
        <w:pStyle w:val="ListParagraph"/>
        <w:numPr>
          <w:ilvl w:val="0"/>
          <w:numId w:val="125"/>
        </w:numPr>
        <w:rPr>
          <w:rFonts w:ascii="Calibri" w:hAnsi="Calibri"/>
          <w:color w:val="000000" w:themeColor="text1"/>
        </w:rPr>
      </w:pPr>
      <w:r w:rsidRPr="00F25D2F">
        <w:rPr>
          <w:rFonts w:ascii="Calibri" w:hAnsi="Calibri"/>
          <w:color w:val="000000" w:themeColor="text1"/>
        </w:rPr>
        <w:t>Rapid re-housing and/or homeless prevention: pg. 24-25</w:t>
      </w:r>
    </w:p>
    <w:p w14:paraId="61E0B12C" w14:textId="385408B8" w:rsidR="00F25D2F" w:rsidRPr="00F25D2F" w:rsidRDefault="00F25D2F">
      <w:pPr>
        <w:pStyle w:val="ListParagraph"/>
        <w:numPr>
          <w:ilvl w:val="0"/>
          <w:numId w:val="125"/>
        </w:numPr>
        <w:rPr>
          <w:rFonts w:ascii="Calibri" w:hAnsi="Calibri"/>
          <w:color w:val="000000" w:themeColor="text1"/>
        </w:rPr>
      </w:pPr>
      <w:r w:rsidRPr="00F25D2F">
        <w:rPr>
          <w:rFonts w:ascii="Calibri" w:hAnsi="Calibri"/>
          <w:color w:val="000000" w:themeColor="text1"/>
        </w:rPr>
        <w:t>Permanent supportive housing: pg. 33</w:t>
      </w:r>
    </w:p>
    <w:p w14:paraId="72CFD07D" w14:textId="77777777" w:rsidR="00F25D2F" w:rsidRPr="00F25D2F" w:rsidRDefault="00F25D2F" w:rsidP="00F25D2F">
      <w:pPr>
        <w:pStyle w:val="ListParagraph"/>
        <w:ind w:left="1440"/>
        <w:rPr>
          <w:rFonts w:ascii="Calibri" w:hAnsi="Calibri"/>
          <w:color w:val="000000" w:themeColor="text1"/>
          <w:sz w:val="20"/>
          <w:szCs w:val="21"/>
        </w:rPr>
      </w:pPr>
    </w:p>
    <w:p w14:paraId="297E4086" w14:textId="13310169" w:rsidR="00F25D2F" w:rsidRPr="0061434B" w:rsidRDefault="00F25D2F">
      <w:pPr>
        <w:pStyle w:val="Heading2"/>
        <w:numPr>
          <w:ilvl w:val="0"/>
          <w:numId w:val="122"/>
        </w:numPr>
        <w:spacing w:before="0" w:line="240" w:lineRule="auto"/>
        <w:contextualSpacing/>
        <w:rPr>
          <w:color w:val="0070C0"/>
        </w:rPr>
      </w:pPr>
      <w:bookmarkStart w:id="191" w:name="_Toc124255098"/>
      <w:r w:rsidRPr="0061434B">
        <w:rPr>
          <w:color w:val="0070C0"/>
        </w:rPr>
        <w:t>Additional Guidance</w:t>
      </w:r>
      <w:bookmarkEnd w:id="191"/>
      <w:r w:rsidRPr="0061434B">
        <w:rPr>
          <w:color w:val="0070C0"/>
        </w:rPr>
        <w:t xml:space="preserve"> </w:t>
      </w:r>
    </w:p>
    <w:p w14:paraId="6B7E2AEB" w14:textId="53EC7C6C" w:rsidR="00F25D2F" w:rsidRPr="00F25D2F" w:rsidRDefault="00F25D2F">
      <w:pPr>
        <w:pStyle w:val="ListParagraph"/>
        <w:numPr>
          <w:ilvl w:val="0"/>
          <w:numId w:val="126"/>
        </w:numPr>
        <w:rPr>
          <w:rFonts w:ascii="Calibri" w:hAnsi="Calibri"/>
          <w:color w:val="000000" w:themeColor="text1"/>
        </w:rPr>
      </w:pPr>
      <w:r w:rsidRPr="00F25D2F">
        <w:rPr>
          <w:rFonts w:ascii="Calibri" w:hAnsi="Calibri" w:cs="Calibri"/>
          <w:color w:val="000000" w:themeColor="text1"/>
        </w:rPr>
        <w:t xml:space="preserve">Per the ATCAA contracting process, HHAP service providers are required to follow the CSCoC prioritization scheme for homelessness prevention, rapid re-housing, and permanent supportive housing. </w:t>
      </w:r>
    </w:p>
    <w:p w14:paraId="326E2602" w14:textId="24DCAA28" w:rsidR="00F25D2F" w:rsidRPr="00F25D2F" w:rsidRDefault="00F25D2F">
      <w:pPr>
        <w:pStyle w:val="ListParagraph"/>
        <w:numPr>
          <w:ilvl w:val="1"/>
          <w:numId w:val="128"/>
        </w:numPr>
        <w:rPr>
          <w:rFonts w:ascii="Calibri" w:hAnsi="Calibri"/>
          <w:color w:val="000000" w:themeColor="text1"/>
        </w:rPr>
      </w:pPr>
      <w:r w:rsidRPr="00F25D2F">
        <w:rPr>
          <w:rFonts w:ascii="Calibri" w:hAnsi="Calibri" w:cs="Calibri"/>
          <w:color w:val="000000" w:themeColor="text1"/>
        </w:rPr>
        <w:t>Please see pg. 26 for guidance around prioritization for homeless prevention and rapid re-housing homeless projects.</w:t>
      </w:r>
    </w:p>
    <w:p w14:paraId="407898B9" w14:textId="06BB83B4" w:rsidR="00F25D2F" w:rsidRPr="00F25D2F" w:rsidRDefault="00F25D2F">
      <w:pPr>
        <w:pStyle w:val="ListParagraph"/>
        <w:numPr>
          <w:ilvl w:val="1"/>
          <w:numId w:val="128"/>
        </w:numPr>
        <w:rPr>
          <w:rFonts w:ascii="Calibri" w:hAnsi="Calibri"/>
          <w:color w:val="000000" w:themeColor="text1"/>
        </w:rPr>
      </w:pPr>
      <w:r w:rsidRPr="00F25D2F">
        <w:rPr>
          <w:rFonts w:ascii="Calibri" w:hAnsi="Calibri" w:cs="Calibri"/>
          <w:color w:val="000000" w:themeColor="text1"/>
        </w:rPr>
        <w:t>Please see pg. 33 for guidance around prioritization for permanent supportive housing project.</w:t>
      </w:r>
    </w:p>
    <w:p w14:paraId="62B84031" w14:textId="74E63BF0" w:rsidR="00F25D2F" w:rsidRPr="00F25D2F" w:rsidRDefault="00F25D2F">
      <w:pPr>
        <w:pStyle w:val="ListParagraph"/>
        <w:numPr>
          <w:ilvl w:val="0"/>
          <w:numId w:val="128"/>
        </w:numPr>
        <w:rPr>
          <w:rFonts w:ascii="Calibri" w:hAnsi="Calibri"/>
          <w:color w:val="000000" w:themeColor="text1"/>
        </w:rPr>
      </w:pPr>
      <w:r w:rsidRPr="00F25D2F">
        <w:rPr>
          <w:rFonts w:ascii="Calibri" w:hAnsi="Calibri" w:cs="Calibri"/>
          <w:color w:val="000000" w:themeColor="text1"/>
        </w:rPr>
        <w:t>Prioritization for other project types will be outlined during the ATCAA contracting process</w:t>
      </w:r>
    </w:p>
    <w:p w14:paraId="3F38D7E7" w14:textId="77777777" w:rsidR="00F44868" w:rsidRPr="0061434B" w:rsidRDefault="00F44868" w:rsidP="00F44868">
      <w:pPr>
        <w:pStyle w:val="Heading1"/>
        <w:rPr>
          <w:b/>
          <w:bCs/>
          <w:color w:val="0070C0"/>
        </w:rPr>
      </w:pPr>
      <w:bookmarkStart w:id="192" w:name="_Toc124255099"/>
      <w:r w:rsidRPr="0061434B">
        <w:rPr>
          <w:b/>
          <w:bCs/>
          <w:color w:val="0070C0"/>
        </w:rPr>
        <w:t>Appendix</w:t>
      </w:r>
      <w:bookmarkEnd w:id="192"/>
    </w:p>
    <w:p w14:paraId="02BFA053" w14:textId="77777777" w:rsidR="00F44868" w:rsidRPr="00A76818" w:rsidRDefault="00F44868" w:rsidP="00F44868">
      <w:pPr>
        <w:contextualSpacing/>
        <w:rPr>
          <w:rStyle w:val="Hyperlink"/>
          <w:rFonts w:ascii="Calibri" w:hAnsi="Calibri" w:cs="Calibri"/>
          <w:color w:val="000000" w:themeColor="text1"/>
        </w:rPr>
      </w:pPr>
    </w:p>
    <w:p w14:paraId="3935A7FC" w14:textId="0B453378" w:rsidR="00481FAF" w:rsidRPr="0061434B" w:rsidRDefault="00481FAF" w:rsidP="00BE4733">
      <w:pPr>
        <w:pStyle w:val="Heading2"/>
        <w:numPr>
          <w:ilvl w:val="3"/>
          <w:numId w:val="105"/>
        </w:numPr>
        <w:ind w:left="360"/>
        <w:rPr>
          <w:color w:val="0070C0"/>
        </w:rPr>
      </w:pPr>
      <w:bookmarkStart w:id="193" w:name="_Toc124255100"/>
      <w:r w:rsidRPr="0061434B">
        <w:rPr>
          <w:color w:val="0070C0"/>
        </w:rPr>
        <w:lastRenderedPageBreak/>
        <w:t>Components of Eligible ESG and CoC Activities</w:t>
      </w:r>
      <w:bookmarkEnd w:id="193"/>
    </w:p>
    <w:p w14:paraId="5CE8FB6F" w14:textId="77777777" w:rsidR="00197A57" w:rsidRPr="00197A57" w:rsidRDefault="00197A57">
      <w:pPr>
        <w:pStyle w:val="Heading2"/>
        <w:numPr>
          <w:ilvl w:val="0"/>
          <w:numId w:val="129"/>
        </w:numPr>
        <w:spacing w:before="0" w:line="240" w:lineRule="auto"/>
        <w:contextualSpacing/>
        <w:rPr>
          <w:color w:val="000000" w:themeColor="text1"/>
        </w:rPr>
      </w:pPr>
      <w:bookmarkStart w:id="194" w:name="_Toc124255101"/>
      <w:r w:rsidRPr="00197A57">
        <w:rPr>
          <w:color w:val="000000" w:themeColor="text1"/>
        </w:rPr>
        <w:t>Introduction</w:t>
      </w:r>
      <w:bookmarkEnd w:id="194"/>
      <w:r w:rsidRPr="00197A57">
        <w:rPr>
          <w:color w:val="000000" w:themeColor="text1"/>
        </w:rPr>
        <w:t xml:space="preserve"> </w:t>
      </w:r>
    </w:p>
    <w:p w14:paraId="7102AC36" w14:textId="6774DE15" w:rsidR="00197A57" w:rsidRPr="00197A57" w:rsidRDefault="00197A57">
      <w:pPr>
        <w:pStyle w:val="ListParagraph"/>
        <w:numPr>
          <w:ilvl w:val="0"/>
          <w:numId w:val="130"/>
        </w:numPr>
        <w:rPr>
          <w:rFonts w:ascii="Calibri" w:hAnsi="Calibri"/>
          <w:color w:val="000000" w:themeColor="text1"/>
        </w:rPr>
      </w:pPr>
      <w:r w:rsidRPr="00197A57">
        <w:rPr>
          <w:rFonts w:ascii="Calibri" w:hAnsi="Calibri"/>
          <w:color w:val="000000" w:themeColor="text1"/>
        </w:rPr>
        <w:t>This section outlines the allowable activities within each project as defined under both ESG and CoC.</w:t>
      </w:r>
      <w:r w:rsidRPr="00197A57">
        <w:rPr>
          <w:rFonts w:ascii="Calibri" w:hAnsi="Calibri" w:cs="Calibri"/>
        </w:rPr>
        <w:t xml:space="preserve"> </w:t>
      </w:r>
    </w:p>
    <w:p w14:paraId="0E957A1F" w14:textId="00A618F4" w:rsidR="00197A57" w:rsidRPr="00197A57" w:rsidRDefault="00197A57">
      <w:pPr>
        <w:pStyle w:val="ListParagraph"/>
        <w:numPr>
          <w:ilvl w:val="1"/>
          <w:numId w:val="131"/>
        </w:numPr>
        <w:rPr>
          <w:rFonts w:ascii="Calibri" w:hAnsi="Calibri"/>
          <w:color w:val="000000" w:themeColor="text1"/>
        </w:rPr>
      </w:pPr>
      <w:r w:rsidRPr="00197A57">
        <w:rPr>
          <w:rFonts w:ascii="Calibri" w:hAnsi="Calibri"/>
          <w:color w:val="000000" w:themeColor="text1"/>
        </w:rPr>
        <w:t xml:space="preserve">Activities are a set of allowable costs. For example, a phone line for a case manager might be considered a Supportive Services activity under the transitional housing component for the CoC Program. </w:t>
      </w:r>
    </w:p>
    <w:p w14:paraId="7F180AD6" w14:textId="29CA83A6" w:rsidR="00197A57" w:rsidRPr="00197A57" w:rsidRDefault="00197A57">
      <w:pPr>
        <w:pStyle w:val="ListParagraph"/>
        <w:numPr>
          <w:ilvl w:val="0"/>
          <w:numId w:val="131"/>
        </w:numPr>
        <w:rPr>
          <w:rFonts w:ascii="Calibri" w:hAnsi="Calibri"/>
          <w:color w:val="000000" w:themeColor="text1"/>
        </w:rPr>
      </w:pPr>
      <w:r w:rsidRPr="00197A57">
        <w:rPr>
          <w:rFonts w:ascii="Calibri" w:hAnsi="Calibri"/>
          <w:color w:val="000000" w:themeColor="text1"/>
        </w:rPr>
        <w:t>ESG and CoC Programs each have five (5) eligible components.</w:t>
      </w:r>
    </w:p>
    <w:p w14:paraId="59292F5A" w14:textId="30689F9D" w:rsidR="00197A57" w:rsidRPr="00197A57" w:rsidRDefault="00197A57">
      <w:pPr>
        <w:pStyle w:val="ListParagraph"/>
        <w:numPr>
          <w:ilvl w:val="1"/>
          <w:numId w:val="131"/>
        </w:numPr>
        <w:rPr>
          <w:rFonts w:ascii="Calibri" w:hAnsi="Calibri"/>
          <w:color w:val="000000" w:themeColor="text1"/>
        </w:rPr>
      </w:pPr>
      <w:r w:rsidRPr="00197A57">
        <w:rPr>
          <w:rFonts w:ascii="Calibri" w:hAnsi="Calibri"/>
          <w:color w:val="000000" w:themeColor="text1"/>
        </w:rPr>
        <w:t>Rapid re-housing, homeless prevention and HMIS are allowable components of both funding sources; however, the activities that are allowable vary by program type.</w:t>
      </w:r>
    </w:p>
    <w:p w14:paraId="38C02393" w14:textId="434ACF74" w:rsidR="00197A57" w:rsidRPr="00197A57" w:rsidRDefault="00197A57">
      <w:pPr>
        <w:pStyle w:val="ListParagraph"/>
        <w:numPr>
          <w:ilvl w:val="1"/>
          <w:numId w:val="131"/>
        </w:numPr>
        <w:rPr>
          <w:rFonts w:ascii="Calibri" w:hAnsi="Calibri"/>
          <w:color w:val="000000" w:themeColor="text1"/>
        </w:rPr>
      </w:pPr>
      <w:r w:rsidRPr="00197A57">
        <w:rPr>
          <w:rFonts w:ascii="Calibri" w:hAnsi="Calibri"/>
          <w:color w:val="000000" w:themeColor="text1"/>
        </w:rPr>
        <w:t>Street outreach and emergency shelter are eligible under ESG only.</w:t>
      </w:r>
    </w:p>
    <w:p w14:paraId="28057D5E" w14:textId="60B75FFF" w:rsidR="00197A57" w:rsidRPr="00197A57" w:rsidRDefault="00197A57">
      <w:pPr>
        <w:pStyle w:val="ListParagraph"/>
        <w:numPr>
          <w:ilvl w:val="1"/>
          <w:numId w:val="131"/>
        </w:numPr>
        <w:rPr>
          <w:rFonts w:ascii="Calibri" w:hAnsi="Calibri"/>
          <w:color w:val="000000" w:themeColor="text1"/>
        </w:rPr>
      </w:pPr>
      <w:r w:rsidRPr="00197A57">
        <w:rPr>
          <w:rFonts w:ascii="Calibri" w:hAnsi="Calibri"/>
          <w:color w:val="000000" w:themeColor="text1"/>
        </w:rPr>
        <w:t>Permanent supportive housing and transitional housing are unique to the CoC Program.</w:t>
      </w:r>
    </w:p>
    <w:p w14:paraId="75EAA48E" w14:textId="243833AA" w:rsidR="00197A57" w:rsidRPr="00197A57" w:rsidRDefault="00197A57">
      <w:pPr>
        <w:pStyle w:val="ListParagraph"/>
        <w:numPr>
          <w:ilvl w:val="0"/>
          <w:numId w:val="131"/>
        </w:numPr>
        <w:rPr>
          <w:rFonts w:ascii="Calibri" w:hAnsi="Calibri"/>
          <w:color w:val="000000" w:themeColor="text1"/>
        </w:rPr>
      </w:pPr>
      <w:r w:rsidRPr="00197A57">
        <w:rPr>
          <w:rFonts w:ascii="Calibri" w:hAnsi="Calibri"/>
          <w:color w:val="000000" w:themeColor="text1"/>
          <w:u w:val="single"/>
        </w:rPr>
        <w:t>In the CSCoC</w:t>
      </w:r>
      <w:r w:rsidRPr="00197A57">
        <w:rPr>
          <w:rFonts w:ascii="Calibri" w:hAnsi="Calibri"/>
          <w:color w:val="000000" w:themeColor="text1"/>
        </w:rPr>
        <w:t>, ESG is currently being used for emergency shelter, homelessness prevention, and rapid re-housing. CoC funding is currently being used for rapid re-housing and permanent supportive housing.</w:t>
      </w:r>
    </w:p>
    <w:p w14:paraId="177ABD53" w14:textId="77777777" w:rsidR="00197A57" w:rsidRPr="00F25D2F" w:rsidRDefault="00197A57" w:rsidP="00197A57">
      <w:pPr>
        <w:contextualSpacing/>
        <w:rPr>
          <w:rFonts w:ascii="Calibri" w:hAnsi="Calibri" w:cs="Calibri"/>
          <w:color w:val="000000" w:themeColor="text1"/>
        </w:rPr>
      </w:pPr>
    </w:p>
    <w:p w14:paraId="5ABDC642" w14:textId="1565CC35" w:rsidR="00197A57" w:rsidRPr="0061434B" w:rsidRDefault="00197A57">
      <w:pPr>
        <w:pStyle w:val="Heading2"/>
        <w:numPr>
          <w:ilvl w:val="0"/>
          <w:numId w:val="129"/>
        </w:numPr>
        <w:spacing w:before="0" w:line="240" w:lineRule="auto"/>
        <w:contextualSpacing/>
        <w:rPr>
          <w:color w:val="0070C0"/>
        </w:rPr>
      </w:pPr>
      <w:bookmarkStart w:id="195" w:name="_Toc124255102"/>
      <w:r w:rsidRPr="0061434B">
        <w:rPr>
          <w:color w:val="0070C0"/>
        </w:rPr>
        <w:t xml:space="preserve">Emergency Solutions Grant </w:t>
      </w:r>
      <w:r w:rsidR="00BE4733" w:rsidRPr="0061434B">
        <w:rPr>
          <w:color w:val="0070C0"/>
        </w:rPr>
        <w:t>Eligible</w:t>
      </w:r>
      <w:r w:rsidRPr="0061434B">
        <w:rPr>
          <w:color w:val="0070C0"/>
        </w:rPr>
        <w:t xml:space="preserve"> Components</w:t>
      </w:r>
      <w:bookmarkEnd w:id="195"/>
      <w:r w:rsidRPr="0061434B">
        <w:rPr>
          <w:color w:val="0070C0"/>
        </w:rPr>
        <w:t xml:space="preserve"> </w:t>
      </w:r>
    </w:p>
    <w:p w14:paraId="3D6BB927" w14:textId="0F05AB60" w:rsidR="00197A57" w:rsidRPr="00197A57" w:rsidRDefault="00197A57">
      <w:pPr>
        <w:pStyle w:val="ListParagraph"/>
        <w:numPr>
          <w:ilvl w:val="0"/>
          <w:numId w:val="132"/>
        </w:numPr>
        <w:rPr>
          <w:rFonts w:ascii="Calibri" w:hAnsi="Calibri"/>
          <w:color w:val="000000" w:themeColor="text1"/>
        </w:rPr>
      </w:pPr>
      <w:r w:rsidRPr="00197A57">
        <w:rPr>
          <w:rFonts w:ascii="Calibri" w:hAnsi="Calibri"/>
          <w:color w:val="000000" w:themeColor="text1"/>
          <w:u w:val="single"/>
        </w:rPr>
        <w:t>Street Outreach</w:t>
      </w:r>
      <w:r w:rsidRPr="00197A57">
        <w:rPr>
          <w:rFonts w:ascii="Calibri" w:hAnsi="Calibri"/>
          <w:color w:val="000000" w:themeColor="text1"/>
        </w:rPr>
        <w:t xml:space="preserve"> 24 CFR § 576.101 (ESG Only)</w:t>
      </w:r>
    </w:p>
    <w:p w14:paraId="678C32BA" w14:textId="061B539D" w:rsidR="00197A57" w:rsidRPr="00197A57" w:rsidRDefault="00197A57">
      <w:pPr>
        <w:pStyle w:val="ListParagraph"/>
        <w:numPr>
          <w:ilvl w:val="1"/>
          <w:numId w:val="133"/>
        </w:numPr>
        <w:rPr>
          <w:rFonts w:ascii="Calibri" w:hAnsi="Calibri"/>
          <w:color w:val="000000" w:themeColor="text1"/>
        </w:rPr>
      </w:pPr>
      <w:r w:rsidRPr="00197A57">
        <w:rPr>
          <w:rFonts w:ascii="Calibri" w:hAnsi="Calibri"/>
          <w:color w:val="000000" w:themeColor="text1"/>
        </w:rPr>
        <w:t>ESG funds may be used for costs of providing essential services necessary to reach out to unsheltered homeless people, referred to as street outreach.</w:t>
      </w:r>
    </w:p>
    <w:p w14:paraId="61636D46" w14:textId="06959BC7" w:rsidR="00197A57" w:rsidRPr="00197A57" w:rsidRDefault="00197A57">
      <w:pPr>
        <w:pStyle w:val="ListParagraph"/>
        <w:numPr>
          <w:ilvl w:val="0"/>
          <w:numId w:val="133"/>
        </w:numPr>
        <w:rPr>
          <w:rFonts w:ascii="Calibri" w:hAnsi="Calibri"/>
          <w:color w:val="000000" w:themeColor="text1"/>
        </w:rPr>
      </w:pPr>
      <w:r w:rsidRPr="00197A57">
        <w:rPr>
          <w:rFonts w:ascii="Calibri" w:hAnsi="Calibri"/>
          <w:color w:val="000000" w:themeColor="text1"/>
          <w:u w:val="single"/>
        </w:rPr>
        <w:t>Emergency Shelter</w:t>
      </w:r>
      <w:r w:rsidRPr="00197A57">
        <w:rPr>
          <w:rFonts w:ascii="Calibri" w:hAnsi="Calibri"/>
          <w:color w:val="000000" w:themeColor="text1"/>
        </w:rPr>
        <w:t xml:space="preserve"> 24 CFR § 576.102 (ESG Only)</w:t>
      </w:r>
    </w:p>
    <w:p w14:paraId="3485CD94" w14:textId="365117E4" w:rsidR="00197A57" w:rsidRPr="00197A57" w:rsidRDefault="00197A57">
      <w:pPr>
        <w:pStyle w:val="ListParagraph"/>
        <w:numPr>
          <w:ilvl w:val="1"/>
          <w:numId w:val="133"/>
        </w:numPr>
        <w:rPr>
          <w:rFonts w:ascii="Calibri" w:hAnsi="Calibri"/>
          <w:color w:val="000000" w:themeColor="text1"/>
        </w:rPr>
      </w:pPr>
      <w:r w:rsidRPr="00197A57">
        <w:rPr>
          <w:rFonts w:ascii="Calibri" w:hAnsi="Calibri"/>
          <w:color w:val="000000" w:themeColor="text1"/>
        </w:rPr>
        <w:t>Emergency shelter is defined as any facility, where the primary purpose is to provide “a temporary shelter for the homeless in general, or for specific populations of the homeless people and which does not require occupants to sign leases or occupancy agreements.”</w:t>
      </w:r>
    </w:p>
    <w:p w14:paraId="4E290D51" w14:textId="77777777" w:rsidR="00197A57" w:rsidRPr="00197A57" w:rsidRDefault="00197A57">
      <w:pPr>
        <w:pStyle w:val="ListParagraph"/>
        <w:numPr>
          <w:ilvl w:val="0"/>
          <w:numId w:val="133"/>
        </w:numPr>
        <w:rPr>
          <w:rFonts w:ascii="Calibri" w:hAnsi="Calibri"/>
          <w:color w:val="000000" w:themeColor="text1"/>
        </w:rPr>
      </w:pPr>
      <w:r w:rsidRPr="00197A57">
        <w:rPr>
          <w:rFonts w:ascii="Calibri" w:hAnsi="Calibri"/>
          <w:color w:val="000000" w:themeColor="text1"/>
          <w:u w:val="single"/>
        </w:rPr>
        <w:t>Homelessness Prevention</w:t>
      </w:r>
      <w:r w:rsidRPr="00197A57">
        <w:rPr>
          <w:rFonts w:ascii="Calibri" w:hAnsi="Calibri"/>
          <w:color w:val="000000" w:themeColor="text1"/>
        </w:rPr>
        <w:t xml:space="preserve"> 24 CFR § 576.103 (ESG Only) </w:t>
      </w:r>
    </w:p>
    <w:p w14:paraId="7008594C" w14:textId="77777777" w:rsidR="00197A57" w:rsidRPr="00197A57" w:rsidRDefault="00197A57">
      <w:pPr>
        <w:pStyle w:val="ListParagraph"/>
        <w:numPr>
          <w:ilvl w:val="1"/>
          <w:numId w:val="133"/>
        </w:numPr>
        <w:rPr>
          <w:rFonts w:ascii="Calibri" w:hAnsi="Calibri"/>
          <w:color w:val="000000" w:themeColor="text1"/>
        </w:rPr>
      </w:pPr>
      <w:r w:rsidRPr="00197A57">
        <w:rPr>
          <w:rFonts w:ascii="Calibri" w:hAnsi="Calibri"/>
          <w:color w:val="000000" w:themeColor="text1"/>
        </w:rPr>
        <w:t xml:space="preserve">Homelessness prevention provides housing relocation, stabilization services and short and medium-term rental assistance necessary to prevent a household from moving into an emergency shelter or another place described in Category 1 of the HUD definition of homelessness. </w:t>
      </w:r>
    </w:p>
    <w:p w14:paraId="600E56E6" w14:textId="0B56A423" w:rsidR="00197A57" w:rsidRPr="00197A57" w:rsidRDefault="00197A57">
      <w:pPr>
        <w:pStyle w:val="ListParagraph"/>
        <w:numPr>
          <w:ilvl w:val="1"/>
          <w:numId w:val="133"/>
        </w:numPr>
        <w:rPr>
          <w:rFonts w:ascii="Calibri" w:hAnsi="Calibri"/>
          <w:color w:val="000000" w:themeColor="text1"/>
        </w:rPr>
      </w:pPr>
      <w:r w:rsidRPr="00197A57">
        <w:rPr>
          <w:rFonts w:ascii="Calibri" w:hAnsi="Calibri"/>
          <w:color w:val="000000" w:themeColor="text1"/>
        </w:rPr>
        <w:t>Please see Appendix D. HUD Definitions of Homelessness (pg. 45) for more information.</w:t>
      </w:r>
    </w:p>
    <w:p w14:paraId="15E37902" w14:textId="23BCA7A0" w:rsidR="00197A57" w:rsidRPr="00197A57" w:rsidRDefault="00197A57">
      <w:pPr>
        <w:pStyle w:val="ListParagraph"/>
        <w:numPr>
          <w:ilvl w:val="0"/>
          <w:numId w:val="133"/>
        </w:numPr>
        <w:rPr>
          <w:rFonts w:ascii="Calibri" w:hAnsi="Calibri"/>
          <w:color w:val="000000" w:themeColor="text1"/>
        </w:rPr>
      </w:pPr>
      <w:r w:rsidRPr="00197A57">
        <w:rPr>
          <w:rFonts w:ascii="Calibri" w:hAnsi="Calibri"/>
          <w:color w:val="000000" w:themeColor="text1"/>
          <w:u w:val="single"/>
        </w:rPr>
        <w:t>Rapid Re-Housing</w:t>
      </w:r>
      <w:r w:rsidRPr="00197A57">
        <w:rPr>
          <w:rFonts w:ascii="Calibri" w:hAnsi="Calibri"/>
          <w:color w:val="000000" w:themeColor="text1"/>
        </w:rPr>
        <w:t xml:space="preserve"> 24 CFR § 576.104 (ESG)</w:t>
      </w:r>
    </w:p>
    <w:p w14:paraId="17776B30" w14:textId="6B3CB541" w:rsidR="00197A57" w:rsidRPr="00197A57" w:rsidRDefault="00197A57">
      <w:pPr>
        <w:pStyle w:val="ListParagraph"/>
        <w:numPr>
          <w:ilvl w:val="1"/>
          <w:numId w:val="133"/>
        </w:numPr>
        <w:rPr>
          <w:rFonts w:ascii="Calibri" w:hAnsi="Calibri"/>
          <w:color w:val="000000" w:themeColor="text1"/>
        </w:rPr>
      </w:pPr>
      <w:r w:rsidRPr="00197A57">
        <w:rPr>
          <w:rFonts w:ascii="Calibri" w:hAnsi="Calibri"/>
          <w:color w:val="000000" w:themeColor="text1"/>
        </w:rPr>
        <w:t>Rapid re-housing provides housing relocation, stabilization services and short- and medium-term rental assistance to help homeless households move as quickly as possible into permanent housing and achieve stability in that housing.</w:t>
      </w:r>
    </w:p>
    <w:p w14:paraId="1302608C" w14:textId="2B0679F2" w:rsidR="00197A57" w:rsidRPr="00197A57" w:rsidRDefault="00197A57">
      <w:pPr>
        <w:pStyle w:val="ListParagraph"/>
        <w:numPr>
          <w:ilvl w:val="0"/>
          <w:numId w:val="133"/>
        </w:numPr>
        <w:rPr>
          <w:rFonts w:ascii="Calibri" w:hAnsi="Calibri"/>
          <w:color w:val="000000" w:themeColor="text1"/>
        </w:rPr>
      </w:pPr>
      <w:r w:rsidRPr="00197A57">
        <w:rPr>
          <w:rFonts w:ascii="Calibri" w:hAnsi="Calibri"/>
          <w:color w:val="000000" w:themeColor="text1"/>
          <w:u w:val="single"/>
        </w:rPr>
        <w:t>HMIS</w:t>
      </w:r>
      <w:r w:rsidRPr="00197A57">
        <w:rPr>
          <w:rFonts w:ascii="Calibri" w:hAnsi="Calibri"/>
          <w:color w:val="000000" w:themeColor="text1"/>
        </w:rPr>
        <w:t xml:space="preserve"> 24 CFR § 576.107 (ESG)</w:t>
      </w:r>
    </w:p>
    <w:p w14:paraId="32810AA9" w14:textId="57E7F35C" w:rsidR="00197A57" w:rsidRPr="00197A57" w:rsidRDefault="00197A57">
      <w:pPr>
        <w:pStyle w:val="ListParagraph"/>
        <w:numPr>
          <w:ilvl w:val="1"/>
          <w:numId w:val="133"/>
        </w:numPr>
        <w:rPr>
          <w:rFonts w:ascii="Calibri" w:hAnsi="Calibri"/>
          <w:color w:val="000000" w:themeColor="text1"/>
        </w:rPr>
      </w:pPr>
      <w:r w:rsidRPr="00197A57">
        <w:rPr>
          <w:rFonts w:ascii="Calibri" w:hAnsi="Calibri"/>
          <w:color w:val="000000" w:themeColor="text1"/>
        </w:rPr>
        <w:lastRenderedPageBreak/>
        <w:t>Section 416(f) of the McKinney-Vento Act requires for the first time that ESG-funded projects participate in the Homeless Management Information System (HMIS). The ESG interim rule makes certain costs eligible to the extent necessary to enable this participation.</w:t>
      </w:r>
    </w:p>
    <w:p w14:paraId="786FF45B" w14:textId="009FBD9E" w:rsidR="00197A57" w:rsidRPr="00197A57" w:rsidRDefault="00197A57">
      <w:pPr>
        <w:pStyle w:val="ListParagraph"/>
        <w:numPr>
          <w:ilvl w:val="0"/>
          <w:numId w:val="133"/>
        </w:numPr>
        <w:rPr>
          <w:rFonts w:ascii="Calibri" w:hAnsi="Calibri"/>
          <w:color w:val="000000" w:themeColor="text1"/>
        </w:rPr>
      </w:pPr>
      <w:r w:rsidRPr="00197A57">
        <w:rPr>
          <w:rFonts w:ascii="Calibri" w:hAnsi="Calibri"/>
          <w:color w:val="000000" w:themeColor="text1"/>
          <w:u w:val="single"/>
        </w:rPr>
        <w:t>Administrative Costs</w:t>
      </w:r>
      <w:r w:rsidRPr="00197A57">
        <w:rPr>
          <w:rFonts w:ascii="Calibri" w:hAnsi="Calibri"/>
          <w:color w:val="000000" w:themeColor="text1"/>
        </w:rPr>
        <w:t xml:space="preserve"> (ESG)</w:t>
      </w:r>
    </w:p>
    <w:p w14:paraId="0B3A0070" w14:textId="4BDD8D71" w:rsidR="00197A57" w:rsidRPr="00197A57" w:rsidRDefault="00197A57">
      <w:pPr>
        <w:pStyle w:val="ListParagraph"/>
        <w:numPr>
          <w:ilvl w:val="1"/>
          <w:numId w:val="133"/>
        </w:numPr>
        <w:rPr>
          <w:rStyle w:val="Hyperlink"/>
          <w:rFonts w:ascii="Calibri" w:hAnsi="Calibri"/>
          <w:color w:val="000000" w:themeColor="text1"/>
          <w:u w:val="none"/>
        </w:rPr>
      </w:pPr>
      <w:r w:rsidRPr="00197A57">
        <w:rPr>
          <w:rFonts w:ascii="Calibri" w:hAnsi="Calibri"/>
          <w:color w:val="000000" w:themeColor="text1"/>
        </w:rPr>
        <w:t>ATCAA retains all administrative funds to manage contracts, complete monitoring, and complete reimbursement activities.</w:t>
      </w:r>
    </w:p>
    <w:p w14:paraId="0BD132E8" w14:textId="77777777" w:rsidR="00197A57" w:rsidRPr="00F25D2F" w:rsidRDefault="00197A57" w:rsidP="00197A57">
      <w:pPr>
        <w:contextualSpacing/>
        <w:rPr>
          <w:rFonts w:ascii="Calibri" w:hAnsi="Calibri" w:cs="Calibri"/>
          <w:color w:val="000000" w:themeColor="text1"/>
        </w:rPr>
      </w:pPr>
    </w:p>
    <w:p w14:paraId="739A9BC3" w14:textId="2D863535" w:rsidR="00197A57" w:rsidRPr="0061434B" w:rsidRDefault="00197A57">
      <w:pPr>
        <w:pStyle w:val="Heading2"/>
        <w:numPr>
          <w:ilvl w:val="0"/>
          <w:numId w:val="129"/>
        </w:numPr>
        <w:spacing w:before="0" w:line="240" w:lineRule="auto"/>
        <w:contextualSpacing/>
        <w:rPr>
          <w:color w:val="0070C0"/>
        </w:rPr>
      </w:pPr>
      <w:bookmarkStart w:id="196" w:name="_Toc124255103"/>
      <w:r w:rsidRPr="0061434B">
        <w:rPr>
          <w:color w:val="0070C0"/>
        </w:rPr>
        <w:t xml:space="preserve">Continuum of Care </w:t>
      </w:r>
      <w:r w:rsidR="00BE4733" w:rsidRPr="0061434B">
        <w:rPr>
          <w:color w:val="0070C0"/>
        </w:rPr>
        <w:t>Eligible</w:t>
      </w:r>
      <w:r w:rsidRPr="0061434B">
        <w:rPr>
          <w:color w:val="0070C0"/>
        </w:rPr>
        <w:t xml:space="preserve"> Components</w:t>
      </w:r>
      <w:bookmarkEnd w:id="196"/>
      <w:r w:rsidRPr="0061434B">
        <w:rPr>
          <w:color w:val="0070C0"/>
        </w:rPr>
        <w:t xml:space="preserve"> </w:t>
      </w:r>
    </w:p>
    <w:p w14:paraId="6CBE2222" w14:textId="17ACA466" w:rsidR="00197A57" w:rsidRPr="00197A57" w:rsidRDefault="00197A57">
      <w:pPr>
        <w:pStyle w:val="ListParagraph"/>
        <w:numPr>
          <w:ilvl w:val="0"/>
          <w:numId w:val="134"/>
        </w:numPr>
        <w:rPr>
          <w:rFonts w:ascii="Calibri" w:hAnsi="Calibri"/>
          <w:color w:val="000000" w:themeColor="text1"/>
        </w:rPr>
      </w:pPr>
      <w:r w:rsidRPr="00197A57">
        <w:rPr>
          <w:rFonts w:ascii="Calibri" w:hAnsi="Calibri"/>
          <w:color w:val="000000" w:themeColor="text1"/>
        </w:rPr>
        <w:t xml:space="preserve">CoC Eligible Activities by Component </w:t>
      </w:r>
      <w:r w:rsidRPr="00197A57">
        <w:rPr>
          <w:rFonts w:ascii="Calibri" w:hAnsi="Calibri"/>
          <w:color w:val="000000" w:themeColor="text1"/>
          <w:u w:val="single"/>
        </w:rPr>
        <w:t xml:space="preserve"> </w:t>
      </w:r>
    </w:p>
    <w:p w14:paraId="48B7FA8F" w14:textId="77777777" w:rsidR="00197A57" w:rsidRPr="00197A57" w:rsidRDefault="00197A57" w:rsidP="00197A57">
      <w:pPr>
        <w:pStyle w:val="ListParagraph"/>
        <w:autoSpaceDE w:val="0"/>
        <w:autoSpaceDN w:val="0"/>
        <w:adjustRightInd w:val="0"/>
        <w:ind w:left="1440"/>
        <w:rPr>
          <w:rFonts w:ascii="Calibri" w:hAnsi="Calibri"/>
          <w:color w:val="000000" w:themeColor="text1"/>
          <w:sz w:val="20"/>
          <w:szCs w:val="20"/>
        </w:rPr>
      </w:pPr>
    </w:p>
    <w:tbl>
      <w:tblPr>
        <w:tblStyle w:val="GridTable4-Accent1"/>
        <w:tblW w:w="9570" w:type="dxa"/>
        <w:jc w:val="center"/>
        <w:tblLook w:val="04A0" w:firstRow="1" w:lastRow="0" w:firstColumn="1" w:lastColumn="0" w:noHBand="0" w:noVBand="1"/>
      </w:tblPr>
      <w:tblGrid>
        <w:gridCol w:w="1914"/>
        <w:gridCol w:w="1914"/>
        <w:gridCol w:w="1914"/>
        <w:gridCol w:w="1914"/>
        <w:gridCol w:w="1914"/>
      </w:tblGrid>
      <w:tr w:rsidR="00197A57" w:rsidRPr="00197A57" w14:paraId="00FA175E" w14:textId="77777777" w:rsidTr="00506063">
        <w:trPr>
          <w:cnfStyle w:val="100000000000" w:firstRow="1" w:lastRow="0" w:firstColumn="0" w:lastColumn="0" w:oddVBand="0" w:evenVBand="0" w:oddHBand="0"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9570" w:type="dxa"/>
            <w:gridSpan w:val="5"/>
          </w:tcPr>
          <w:p w14:paraId="551425C7" w14:textId="77777777" w:rsidR="00197A57" w:rsidRPr="00197A57" w:rsidRDefault="00197A57" w:rsidP="00506063">
            <w:pPr>
              <w:pStyle w:val="ListParagraph"/>
              <w:autoSpaceDE w:val="0"/>
              <w:autoSpaceDN w:val="0"/>
              <w:adjustRightInd w:val="0"/>
              <w:ind w:left="0"/>
              <w:rPr>
                <w:rFonts w:ascii="Calibri" w:hAnsi="Calibri"/>
                <w:b w:val="0"/>
                <w:bCs w:val="0"/>
                <w:color w:val="000000" w:themeColor="text1"/>
              </w:rPr>
            </w:pPr>
            <w:r w:rsidRPr="00197A57">
              <w:rPr>
                <w:rFonts w:ascii="Calibri" w:hAnsi="Calibri"/>
                <w:b w:val="0"/>
                <w:bCs w:val="0"/>
                <w:color w:val="000000" w:themeColor="text1"/>
              </w:rPr>
              <w:t>CoC Eligible Activities by Component</w:t>
            </w:r>
          </w:p>
        </w:tc>
      </w:tr>
      <w:tr w:rsidR="00197A57" w:rsidRPr="00197A57" w14:paraId="11036AC9" w14:textId="77777777" w:rsidTr="00506063">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1914" w:type="dxa"/>
          </w:tcPr>
          <w:p w14:paraId="155F1CFC" w14:textId="77777777" w:rsidR="00197A57" w:rsidRPr="00197A57" w:rsidRDefault="00197A57" w:rsidP="00506063">
            <w:pPr>
              <w:pStyle w:val="ListParagraph"/>
              <w:autoSpaceDE w:val="0"/>
              <w:autoSpaceDN w:val="0"/>
              <w:adjustRightInd w:val="0"/>
              <w:ind w:left="0"/>
              <w:rPr>
                <w:rFonts w:ascii="Calibri" w:hAnsi="Calibri"/>
                <w:b w:val="0"/>
                <w:bCs w:val="0"/>
                <w:color w:val="000000" w:themeColor="text1"/>
              </w:rPr>
            </w:pPr>
          </w:p>
        </w:tc>
        <w:tc>
          <w:tcPr>
            <w:tcW w:w="1914" w:type="dxa"/>
          </w:tcPr>
          <w:p w14:paraId="7CE7ACFC" w14:textId="77777777" w:rsidR="00197A57" w:rsidRPr="00197A57" w:rsidRDefault="00197A57" w:rsidP="00506063">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c>
          <w:tcPr>
            <w:tcW w:w="1914" w:type="dxa"/>
          </w:tcPr>
          <w:p w14:paraId="5EE44927" w14:textId="77777777" w:rsidR="00197A57" w:rsidRPr="00197A57" w:rsidRDefault="00197A57" w:rsidP="00506063">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PSH</w:t>
            </w:r>
          </w:p>
        </w:tc>
        <w:tc>
          <w:tcPr>
            <w:tcW w:w="1914" w:type="dxa"/>
          </w:tcPr>
          <w:p w14:paraId="76D73A4D" w14:textId="77777777" w:rsidR="00197A57" w:rsidRPr="00197A57" w:rsidRDefault="00197A57" w:rsidP="00506063">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RRH</w:t>
            </w:r>
          </w:p>
        </w:tc>
        <w:tc>
          <w:tcPr>
            <w:tcW w:w="1914" w:type="dxa"/>
          </w:tcPr>
          <w:p w14:paraId="39E493B5" w14:textId="77777777" w:rsidR="00197A57" w:rsidRPr="00197A57" w:rsidRDefault="00197A57" w:rsidP="00506063">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TH</w:t>
            </w:r>
          </w:p>
        </w:tc>
      </w:tr>
      <w:tr w:rsidR="00197A57" w:rsidRPr="00197A57" w14:paraId="45A10C18" w14:textId="77777777" w:rsidTr="00506063">
        <w:trPr>
          <w:trHeight w:val="281"/>
          <w:jc w:val="center"/>
        </w:trPr>
        <w:tc>
          <w:tcPr>
            <w:cnfStyle w:val="001000000000" w:firstRow="0" w:lastRow="0" w:firstColumn="1" w:lastColumn="0" w:oddVBand="0" w:evenVBand="0" w:oddHBand="0" w:evenHBand="0" w:firstRowFirstColumn="0" w:firstRowLastColumn="0" w:lastRowFirstColumn="0" w:lastRowLastColumn="0"/>
            <w:tcW w:w="1914" w:type="dxa"/>
            <w:vMerge w:val="restart"/>
            <w:shd w:val="clear" w:color="auto" w:fill="FFFFFF" w:themeFill="background1"/>
          </w:tcPr>
          <w:p w14:paraId="4B24674D" w14:textId="77777777" w:rsidR="00197A57" w:rsidRPr="00197A57" w:rsidRDefault="00197A57" w:rsidP="00506063">
            <w:pPr>
              <w:pStyle w:val="ListParagraph"/>
              <w:autoSpaceDE w:val="0"/>
              <w:autoSpaceDN w:val="0"/>
              <w:adjustRightInd w:val="0"/>
              <w:ind w:left="0"/>
              <w:rPr>
                <w:rFonts w:ascii="Calibri" w:hAnsi="Calibri"/>
                <w:b w:val="0"/>
                <w:bCs w:val="0"/>
                <w:color w:val="000000" w:themeColor="text1"/>
              </w:rPr>
            </w:pPr>
            <w:r w:rsidRPr="00197A57">
              <w:rPr>
                <w:rFonts w:ascii="Calibri" w:hAnsi="Calibri"/>
                <w:b w:val="0"/>
                <w:bCs w:val="0"/>
                <w:color w:val="000000" w:themeColor="text1"/>
              </w:rPr>
              <w:t>Housing Costs</w:t>
            </w:r>
          </w:p>
        </w:tc>
        <w:tc>
          <w:tcPr>
            <w:tcW w:w="1914" w:type="dxa"/>
            <w:shd w:val="clear" w:color="auto" w:fill="FFFFFF" w:themeFill="background1"/>
          </w:tcPr>
          <w:p w14:paraId="4E9BDD59" w14:textId="77777777" w:rsidR="00197A57" w:rsidRPr="00197A57" w:rsidRDefault="00197A57" w:rsidP="00506063">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Leasing</w:t>
            </w:r>
          </w:p>
        </w:tc>
        <w:tc>
          <w:tcPr>
            <w:tcW w:w="1914" w:type="dxa"/>
            <w:shd w:val="clear" w:color="auto" w:fill="FFFFFF" w:themeFill="background1"/>
          </w:tcPr>
          <w:p w14:paraId="4C877A25" w14:textId="77777777" w:rsidR="00197A57" w:rsidRPr="00197A57" w:rsidRDefault="00197A57" w:rsidP="00506063">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X</w:t>
            </w:r>
          </w:p>
        </w:tc>
        <w:tc>
          <w:tcPr>
            <w:tcW w:w="1914" w:type="dxa"/>
            <w:shd w:val="clear" w:color="auto" w:fill="FFFFFF" w:themeFill="background1"/>
          </w:tcPr>
          <w:p w14:paraId="0465BCFB" w14:textId="77777777" w:rsidR="00197A57" w:rsidRPr="00197A57" w:rsidRDefault="00197A57" w:rsidP="00506063">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c>
          <w:tcPr>
            <w:tcW w:w="1914" w:type="dxa"/>
            <w:shd w:val="clear" w:color="auto" w:fill="FFFFFF" w:themeFill="background1"/>
          </w:tcPr>
          <w:p w14:paraId="4E0F8D00" w14:textId="77777777" w:rsidR="00197A57" w:rsidRPr="00197A57" w:rsidRDefault="00197A57" w:rsidP="00506063">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X</w:t>
            </w:r>
          </w:p>
        </w:tc>
      </w:tr>
      <w:tr w:rsidR="00197A57" w:rsidRPr="00197A57" w14:paraId="3046E136" w14:textId="77777777" w:rsidTr="00506063">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914" w:type="dxa"/>
            <w:vMerge/>
            <w:shd w:val="clear" w:color="auto" w:fill="FFFFFF" w:themeFill="background1"/>
          </w:tcPr>
          <w:p w14:paraId="4E59DF6B" w14:textId="77777777" w:rsidR="00197A57" w:rsidRPr="00197A57" w:rsidRDefault="00197A57" w:rsidP="00506063">
            <w:pPr>
              <w:pStyle w:val="ListParagraph"/>
              <w:autoSpaceDE w:val="0"/>
              <w:autoSpaceDN w:val="0"/>
              <w:adjustRightInd w:val="0"/>
              <w:ind w:left="0"/>
              <w:rPr>
                <w:rFonts w:ascii="Calibri" w:hAnsi="Calibri"/>
                <w:b w:val="0"/>
                <w:bCs w:val="0"/>
                <w:color w:val="000000" w:themeColor="text1"/>
              </w:rPr>
            </w:pPr>
          </w:p>
        </w:tc>
        <w:tc>
          <w:tcPr>
            <w:tcW w:w="1914" w:type="dxa"/>
            <w:shd w:val="clear" w:color="auto" w:fill="FFFFFF" w:themeFill="background1"/>
          </w:tcPr>
          <w:p w14:paraId="68DCD885" w14:textId="77777777" w:rsidR="00197A57" w:rsidRPr="00197A57" w:rsidRDefault="00197A57" w:rsidP="00506063">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Rental Assistance</w:t>
            </w:r>
          </w:p>
        </w:tc>
        <w:tc>
          <w:tcPr>
            <w:tcW w:w="1914" w:type="dxa"/>
            <w:shd w:val="clear" w:color="auto" w:fill="FFFFFF" w:themeFill="background1"/>
          </w:tcPr>
          <w:p w14:paraId="7B6B5F8C" w14:textId="77777777" w:rsidR="00197A57" w:rsidRPr="00197A57" w:rsidRDefault="00197A57" w:rsidP="00506063">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X</w:t>
            </w:r>
          </w:p>
        </w:tc>
        <w:tc>
          <w:tcPr>
            <w:tcW w:w="1914" w:type="dxa"/>
            <w:shd w:val="clear" w:color="auto" w:fill="FFFFFF" w:themeFill="background1"/>
          </w:tcPr>
          <w:p w14:paraId="613D7A04" w14:textId="77777777" w:rsidR="00197A57" w:rsidRPr="00197A57" w:rsidRDefault="00197A57" w:rsidP="00506063">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X</w:t>
            </w:r>
          </w:p>
        </w:tc>
        <w:tc>
          <w:tcPr>
            <w:tcW w:w="1914" w:type="dxa"/>
            <w:shd w:val="clear" w:color="auto" w:fill="FFFFFF" w:themeFill="background1"/>
          </w:tcPr>
          <w:p w14:paraId="0E7EC48C" w14:textId="77777777" w:rsidR="00197A57" w:rsidRPr="00197A57" w:rsidRDefault="00197A57" w:rsidP="00506063">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X</w:t>
            </w:r>
          </w:p>
        </w:tc>
      </w:tr>
      <w:tr w:rsidR="00197A57" w:rsidRPr="00197A57" w14:paraId="631BC053" w14:textId="77777777" w:rsidTr="00506063">
        <w:trPr>
          <w:trHeight w:val="264"/>
          <w:jc w:val="center"/>
        </w:trPr>
        <w:tc>
          <w:tcPr>
            <w:cnfStyle w:val="001000000000" w:firstRow="0" w:lastRow="0" w:firstColumn="1" w:lastColumn="0" w:oddVBand="0" w:evenVBand="0" w:oddHBand="0" w:evenHBand="0" w:firstRowFirstColumn="0" w:firstRowLastColumn="0" w:lastRowFirstColumn="0" w:lastRowLastColumn="0"/>
            <w:tcW w:w="1914" w:type="dxa"/>
            <w:vMerge/>
            <w:shd w:val="clear" w:color="auto" w:fill="FFFFFF" w:themeFill="background1"/>
          </w:tcPr>
          <w:p w14:paraId="2A3AB0DB" w14:textId="77777777" w:rsidR="00197A57" w:rsidRPr="00197A57" w:rsidRDefault="00197A57" w:rsidP="00506063">
            <w:pPr>
              <w:pStyle w:val="ListParagraph"/>
              <w:autoSpaceDE w:val="0"/>
              <w:autoSpaceDN w:val="0"/>
              <w:adjustRightInd w:val="0"/>
              <w:ind w:left="0"/>
              <w:rPr>
                <w:rFonts w:ascii="Calibri" w:hAnsi="Calibri"/>
                <w:b w:val="0"/>
                <w:bCs w:val="0"/>
                <w:color w:val="000000" w:themeColor="text1"/>
              </w:rPr>
            </w:pPr>
          </w:p>
        </w:tc>
        <w:tc>
          <w:tcPr>
            <w:tcW w:w="1914" w:type="dxa"/>
            <w:shd w:val="clear" w:color="auto" w:fill="FFFFFF" w:themeFill="background1"/>
          </w:tcPr>
          <w:p w14:paraId="289F8C0A" w14:textId="77777777" w:rsidR="00197A57" w:rsidRPr="00197A57" w:rsidRDefault="00197A57" w:rsidP="00506063">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Operating</w:t>
            </w:r>
          </w:p>
        </w:tc>
        <w:tc>
          <w:tcPr>
            <w:tcW w:w="1914" w:type="dxa"/>
            <w:shd w:val="clear" w:color="auto" w:fill="FFFFFF" w:themeFill="background1"/>
          </w:tcPr>
          <w:p w14:paraId="0BCC243E" w14:textId="77777777" w:rsidR="00197A57" w:rsidRPr="00197A57" w:rsidRDefault="00197A57" w:rsidP="00506063">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X</w:t>
            </w:r>
          </w:p>
        </w:tc>
        <w:tc>
          <w:tcPr>
            <w:tcW w:w="1914" w:type="dxa"/>
            <w:shd w:val="clear" w:color="auto" w:fill="FFFFFF" w:themeFill="background1"/>
          </w:tcPr>
          <w:p w14:paraId="31971260" w14:textId="77777777" w:rsidR="00197A57" w:rsidRPr="00197A57" w:rsidRDefault="00197A57" w:rsidP="00506063">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c>
          <w:tcPr>
            <w:tcW w:w="1914" w:type="dxa"/>
            <w:shd w:val="clear" w:color="auto" w:fill="FFFFFF" w:themeFill="background1"/>
          </w:tcPr>
          <w:p w14:paraId="0BA8BB07" w14:textId="77777777" w:rsidR="00197A57" w:rsidRPr="00197A57" w:rsidRDefault="00197A57" w:rsidP="00506063">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X</w:t>
            </w:r>
          </w:p>
        </w:tc>
      </w:tr>
      <w:tr w:rsidR="00197A57" w:rsidRPr="00197A57" w14:paraId="01310807" w14:textId="77777777" w:rsidTr="00506063">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828" w:type="dxa"/>
            <w:gridSpan w:val="2"/>
            <w:shd w:val="clear" w:color="auto" w:fill="FFFFFF" w:themeFill="background1"/>
          </w:tcPr>
          <w:p w14:paraId="3AAE269D" w14:textId="77777777" w:rsidR="00197A57" w:rsidRPr="00197A57" w:rsidRDefault="00197A57" w:rsidP="00506063">
            <w:pPr>
              <w:pStyle w:val="ListParagraph"/>
              <w:autoSpaceDE w:val="0"/>
              <w:autoSpaceDN w:val="0"/>
              <w:adjustRightInd w:val="0"/>
              <w:ind w:left="0"/>
              <w:rPr>
                <w:rFonts w:ascii="Calibri" w:hAnsi="Calibri"/>
                <w:b w:val="0"/>
                <w:bCs w:val="0"/>
                <w:color w:val="000000" w:themeColor="text1"/>
              </w:rPr>
            </w:pPr>
            <w:r w:rsidRPr="00197A57">
              <w:rPr>
                <w:rFonts w:ascii="Calibri" w:hAnsi="Calibri"/>
                <w:b w:val="0"/>
                <w:bCs w:val="0"/>
                <w:color w:val="000000" w:themeColor="text1"/>
              </w:rPr>
              <w:t>Supportive Services</w:t>
            </w:r>
          </w:p>
        </w:tc>
        <w:tc>
          <w:tcPr>
            <w:tcW w:w="1914" w:type="dxa"/>
            <w:shd w:val="clear" w:color="auto" w:fill="FFFFFF" w:themeFill="background1"/>
          </w:tcPr>
          <w:p w14:paraId="460C358B" w14:textId="77777777" w:rsidR="00197A57" w:rsidRPr="00197A57" w:rsidRDefault="00197A57" w:rsidP="00506063">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X</w:t>
            </w:r>
          </w:p>
        </w:tc>
        <w:tc>
          <w:tcPr>
            <w:tcW w:w="1914" w:type="dxa"/>
            <w:shd w:val="clear" w:color="auto" w:fill="FFFFFF" w:themeFill="background1"/>
          </w:tcPr>
          <w:p w14:paraId="5D6EED89" w14:textId="77777777" w:rsidR="00197A57" w:rsidRPr="00197A57" w:rsidRDefault="00197A57" w:rsidP="00506063">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X</w:t>
            </w:r>
          </w:p>
        </w:tc>
        <w:tc>
          <w:tcPr>
            <w:tcW w:w="1914" w:type="dxa"/>
            <w:shd w:val="clear" w:color="auto" w:fill="FFFFFF" w:themeFill="background1"/>
          </w:tcPr>
          <w:p w14:paraId="039B8B06" w14:textId="77777777" w:rsidR="00197A57" w:rsidRPr="00197A57" w:rsidRDefault="00197A57" w:rsidP="00506063">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X</w:t>
            </w:r>
          </w:p>
        </w:tc>
      </w:tr>
      <w:tr w:rsidR="00197A57" w:rsidRPr="00197A57" w14:paraId="0F826C95" w14:textId="77777777" w:rsidTr="00506063">
        <w:trPr>
          <w:trHeight w:val="264"/>
          <w:jc w:val="center"/>
        </w:trPr>
        <w:tc>
          <w:tcPr>
            <w:cnfStyle w:val="001000000000" w:firstRow="0" w:lastRow="0" w:firstColumn="1" w:lastColumn="0" w:oddVBand="0" w:evenVBand="0" w:oddHBand="0" w:evenHBand="0" w:firstRowFirstColumn="0" w:firstRowLastColumn="0" w:lastRowFirstColumn="0" w:lastRowLastColumn="0"/>
            <w:tcW w:w="3828" w:type="dxa"/>
            <w:gridSpan w:val="2"/>
            <w:shd w:val="clear" w:color="auto" w:fill="FFFFFF" w:themeFill="background1"/>
          </w:tcPr>
          <w:p w14:paraId="510D936A" w14:textId="77777777" w:rsidR="00197A57" w:rsidRPr="00197A57" w:rsidRDefault="00197A57" w:rsidP="00506063">
            <w:pPr>
              <w:pStyle w:val="ListParagraph"/>
              <w:autoSpaceDE w:val="0"/>
              <w:autoSpaceDN w:val="0"/>
              <w:adjustRightInd w:val="0"/>
              <w:ind w:left="0"/>
              <w:rPr>
                <w:rFonts w:ascii="Calibri" w:hAnsi="Calibri"/>
                <w:b w:val="0"/>
                <w:bCs w:val="0"/>
                <w:color w:val="000000" w:themeColor="text1"/>
              </w:rPr>
            </w:pPr>
            <w:r w:rsidRPr="00197A57">
              <w:rPr>
                <w:rFonts w:ascii="Calibri" w:hAnsi="Calibri"/>
                <w:b w:val="0"/>
                <w:bCs w:val="0"/>
                <w:color w:val="000000" w:themeColor="text1"/>
              </w:rPr>
              <w:t>HMIS</w:t>
            </w:r>
          </w:p>
        </w:tc>
        <w:tc>
          <w:tcPr>
            <w:tcW w:w="1914" w:type="dxa"/>
            <w:shd w:val="clear" w:color="auto" w:fill="FFFFFF" w:themeFill="background1"/>
          </w:tcPr>
          <w:p w14:paraId="10DD1D0F" w14:textId="77777777" w:rsidR="00197A57" w:rsidRPr="00197A57" w:rsidRDefault="00197A57" w:rsidP="00506063">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X</w:t>
            </w:r>
          </w:p>
        </w:tc>
        <w:tc>
          <w:tcPr>
            <w:tcW w:w="1914" w:type="dxa"/>
            <w:shd w:val="clear" w:color="auto" w:fill="FFFFFF" w:themeFill="background1"/>
          </w:tcPr>
          <w:p w14:paraId="0DB07556" w14:textId="77777777" w:rsidR="00197A57" w:rsidRPr="00197A57" w:rsidRDefault="00197A57" w:rsidP="00506063">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X</w:t>
            </w:r>
          </w:p>
        </w:tc>
        <w:tc>
          <w:tcPr>
            <w:tcW w:w="1914" w:type="dxa"/>
            <w:shd w:val="clear" w:color="auto" w:fill="FFFFFF" w:themeFill="background1"/>
          </w:tcPr>
          <w:p w14:paraId="45921026" w14:textId="77777777" w:rsidR="00197A57" w:rsidRPr="00197A57" w:rsidRDefault="00197A57" w:rsidP="00506063">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X</w:t>
            </w:r>
          </w:p>
        </w:tc>
      </w:tr>
      <w:tr w:rsidR="00197A57" w:rsidRPr="00197A57" w14:paraId="0DC5099E" w14:textId="77777777" w:rsidTr="00506063">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828" w:type="dxa"/>
            <w:gridSpan w:val="2"/>
            <w:shd w:val="clear" w:color="auto" w:fill="FFFFFF" w:themeFill="background1"/>
          </w:tcPr>
          <w:p w14:paraId="198C3D63" w14:textId="77777777" w:rsidR="00197A57" w:rsidRPr="00197A57" w:rsidRDefault="00197A57" w:rsidP="00506063">
            <w:pPr>
              <w:pStyle w:val="ListParagraph"/>
              <w:autoSpaceDE w:val="0"/>
              <w:autoSpaceDN w:val="0"/>
              <w:adjustRightInd w:val="0"/>
              <w:ind w:left="0"/>
              <w:rPr>
                <w:rFonts w:ascii="Calibri" w:hAnsi="Calibri"/>
                <w:b w:val="0"/>
                <w:bCs w:val="0"/>
                <w:color w:val="000000" w:themeColor="text1"/>
              </w:rPr>
            </w:pPr>
            <w:r w:rsidRPr="00197A57">
              <w:rPr>
                <w:rFonts w:ascii="Calibri" w:hAnsi="Calibri"/>
                <w:b w:val="0"/>
                <w:bCs w:val="0"/>
                <w:color w:val="000000" w:themeColor="text1"/>
              </w:rPr>
              <w:t>Administration</w:t>
            </w:r>
          </w:p>
        </w:tc>
        <w:tc>
          <w:tcPr>
            <w:tcW w:w="1914" w:type="dxa"/>
            <w:shd w:val="clear" w:color="auto" w:fill="FFFFFF" w:themeFill="background1"/>
          </w:tcPr>
          <w:p w14:paraId="341BCDB7" w14:textId="77777777" w:rsidR="00197A57" w:rsidRPr="00197A57" w:rsidRDefault="00197A57" w:rsidP="00506063">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X</w:t>
            </w:r>
          </w:p>
        </w:tc>
        <w:tc>
          <w:tcPr>
            <w:tcW w:w="1914" w:type="dxa"/>
            <w:shd w:val="clear" w:color="auto" w:fill="FFFFFF" w:themeFill="background1"/>
          </w:tcPr>
          <w:p w14:paraId="29AFBBA6" w14:textId="77777777" w:rsidR="00197A57" w:rsidRPr="00197A57" w:rsidRDefault="00197A57" w:rsidP="00506063">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X</w:t>
            </w:r>
          </w:p>
        </w:tc>
        <w:tc>
          <w:tcPr>
            <w:tcW w:w="1914" w:type="dxa"/>
            <w:shd w:val="clear" w:color="auto" w:fill="FFFFFF" w:themeFill="background1"/>
          </w:tcPr>
          <w:p w14:paraId="55BEA4CC" w14:textId="77777777" w:rsidR="00197A57" w:rsidRPr="00197A57" w:rsidRDefault="00197A57" w:rsidP="00506063">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X</w:t>
            </w:r>
          </w:p>
        </w:tc>
      </w:tr>
      <w:tr w:rsidR="00197A57" w:rsidRPr="00197A57" w14:paraId="6E6513E6" w14:textId="77777777" w:rsidTr="00506063">
        <w:trPr>
          <w:trHeight w:val="264"/>
          <w:jc w:val="center"/>
        </w:trPr>
        <w:tc>
          <w:tcPr>
            <w:cnfStyle w:val="001000000000" w:firstRow="0" w:lastRow="0" w:firstColumn="1" w:lastColumn="0" w:oddVBand="0" w:evenVBand="0" w:oddHBand="0" w:evenHBand="0" w:firstRowFirstColumn="0" w:firstRowLastColumn="0" w:lastRowFirstColumn="0" w:lastRowLastColumn="0"/>
            <w:tcW w:w="3828" w:type="dxa"/>
            <w:gridSpan w:val="2"/>
            <w:shd w:val="clear" w:color="auto" w:fill="FFFFFF" w:themeFill="background1"/>
          </w:tcPr>
          <w:p w14:paraId="5B0EAE44" w14:textId="77777777" w:rsidR="00197A57" w:rsidRPr="00197A57" w:rsidRDefault="00197A57" w:rsidP="00506063">
            <w:pPr>
              <w:pStyle w:val="ListParagraph"/>
              <w:autoSpaceDE w:val="0"/>
              <w:autoSpaceDN w:val="0"/>
              <w:adjustRightInd w:val="0"/>
              <w:ind w:left="0"/>
              <w:rPr>
                <w:rFonts w:ascii="Calibri" w:hAnsi="Calibri"/>
                <w:b w:val="0"/>
                <w:bCs w:val="0"/>
                <w:color w:val="000000" w:themeColor="text1"/>
              </w:rPr>
            </w:pPr>
            <w:r w:rsidRPr="00197A57">
              <w:rPr>
                <w:rFonts w:ascii="Calibri" w:hAnsi="Calibri"/>
                <w:b w:val="0"/>
                <w:bCs w:val="0"/>
                <w:color w:val="000000" w:themeColor="text1"/>
              </w:rPr>
              <w:t>Indirect Costs</w:t>
            </w:r>
          </w:p>
        </w:tc>
        <w:tc>
          <w:tcPr>
            <w:tcW w:w="1914" w:type="dxa"/>
            <w:shd w:val="clear" w:color="auto" w:fill="FFFFFF" w:themeFill="background1"/>
          </w:tcPr>
          <w:p w14:paraId="5D404590" w14:textId="77777777" w:rsidR="00197A57" w:rsidRPr="00197A57" w:rsidRDefault="00197A57" w:rsidP="00506063">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X</w:t>
            </w:r>
          </w:p>
        </w:tc>
        <w:tc>
          <w:tcPr>
            <w:tcW w:w="1914" w:type="dxa"/>
            <w:shd w:val="clear" w:color="auto" w:fill="FFFFFF" w:themeFill="background1"/>
          </w:tcPr>
          <w:p w14:paraId="05B97D82" w14:textId="77777777" w:rsidR="00197A57" w:rsidRPr="00197A57" w:rsidRDefault="00197A57" w:rsidP="00506063">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X</w:t>
            </w:r>
          </w:p>
        </w:tc>
        <w:tc>
          <w:tcPr>
            <w:tcW w:w="1914" w:type="dxa"/>
            <w:shd w:val="clear" w:color="auto" w:fill="FFFFFF" w:themeFill="background1"/>
          </w:tcPr>
          <w:p w14:paraId="38108FB0" w14:textId="77777777" w:rsidR="00197A57" w:rsidRPr="00197A57" w:rsidRDefault="00197A57" w:rsidP="00506063">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197A57">
              <w:rPr>
                <w:rFonts w:ascii="Calibri" w:hAnsi="Calibri"/>
                <w:color w:val="000000" w:themeColor="text1"/>
              </w:rPr>
              <w:t>X</w:t>
            </w:r>
          </w:p>
        </w:tc>
      </w:tr>
    </w:tbl>
    <w:p w14:paraId="36B94AE7" w14:textId="77777777" w:rsidR="00197A57" w:rsidRPr="00197A57" w:rsidRDefault="00197A57" w:rsidP="00197A57">
      <w:pPr>
        <w:pStyle w:val="ListParagraph"/>
        <w:autoSpaceDE w:val="0"/>
        <w:autoSpaceDN w:val="0"/>
        <w:adjustRightInd w:val="0"/>
        <w:ind w:left="1440"/>
        <w:rPr>
          <w:rFonts w:ascii="Calibri" w:hAnsi="Calibri" w:cs="Calibri"/>
          <w:color w:val="000000" w:themeColor="text1"/>
        </w:rPr>
      </w:pPr>
    </w:p>
    <w:p w14:paraId="4766B117" w14:textId="6F544C7B" w:rsidR="00197A57" w:rsidRPr="00197A57" w:rsidRDefault="00197A57">
      <w:pPr>
        <w:pStyle w:val="ListParagraph"/>
        <w:numPr>
          <w:ilvl w:val="0"/>
          <w:numId w:val="134"/>
        </w:numPr>
        <w:rPr>
          <w:rFonts w:ascii="Calibri" w:hAnsi="Calibri"/>
          <w:color w:val="000000" w:themeColor="text1"/>
        </w:rPr>
      </w:pPr>
      <w:r w:rsidRPr="00197A57">
        <w:rPr>
          <w:rFonts w:ascii="Calibri" w:hAnsi="Calibri"/>
          <w:color w:val="000000" w:themeColor="text1"/>
          <w:u w:val="single"/>
        </w:rPr>
        <w:t>Leasing</w:t>
      </w:r>
      <w:r w:rsidRPr="00197A57">
        <w:rPr>
          <w:rFonts w:ascii="Calibri" w:hAnsi="Calibri"/>
          <w:color w:val="000000" w:themeColor="text1"/>
        </w:rPr>
        <w:t xml:space="preserve"> 24 CFR § 578.49 (CoC)</w:t>
      </w:r>
    </w:p>
    <w:p w14:paraId="1007045F" w14:textId="2B146547" w:rsidR="00197A57" w:rsidRPr="00197A57" w:rsidRDefault="00197A57">
      <w:pPr>
        <w:pStyle w:val="ListParagraph"/>
        <w:numPr>
          <w:ilvl w:val="1"/>
          <w:numId w:val="135"/>
        </w:numPr>
        <w:rPr>
          <w:rFonts w:ascii="Calibri" w:hAnsi="Calibri"/>
          <w:color w:val="000000" w:themeColor="text1"/>
        </w:rPr>
      </w:pPr>
      <w:r w:rsidRPr="00197A57">
        <w:rPr>
          <w:rFonts w:ascii="Calibri" w:hAnsi="Calibri"/>
          <w:color w:val="000000" w:themeColor="text1"/>
        </w:rPr>
        <w:t>Leasing funds under the CoC Program may be used to lease a structure or individual units to provide housing or supportive services to households. Funds cannot be used to lease units or structures owned by the service provider, their parent organization(s), or other organizations more fully described in 24 CFR §578.49(a) unless authorized by HUD.</w:t>
      </w:r>
    </w:p>
    <w:p w14:paraId="487E1F6C" w14:textId="2D42E756" w:rsidR="00197A57" w:rsidRPr="00197A57" w:rsidRDefault="00197A57">
      <w:pPr>
        <w:pStyle w:val="ListParagraph"/>
        <w:numPr>
          <w:ilvl w:val="1"/>
          <w:numId w:val="135"/>
        </w:numPr>
        <w:rPr>
          <w:rFonts w:ascii="Calibri" w:hAnsi="Calibri"/>
          <w:color w:val="000000" w:themeColor="text1"/>
        </w:rPr>
      </w:pPr>
      <w:r w:rsidRPr="00197A57">
        <w:rPr>
          <w:rFonts w:ascii="Calibri" w:hAnsi="Calibri"/>
          <w:color w:val="000000" w:themeColor="text1"/>
        </w:rPr>
        <w:t>For more information about CoC leasing requirements, please see pg. 36-37 of this document.</w:t>
      </w:r>
    </w:p>
    <w:p w14:paraId="7AB19F16" w14:textId="6FCB0D4D" w:rsidR="00197A57" w:rsidRPr="00197A57" w:rsidRDefault="00197A57">
      <w:pPr>
        <w:pStyle w:val="ListParagraph"/>
        <w:numPr>
          <w:ilvl w:val="0"/>
          <w:numId w:val="134"/>
        </w:numPr>
        <w:rPr>
          <w:rFonts w:ascii="Calibri" w:hAnsi="Calibri"/>
          <w:color w:val="000000" w:themeColor="text1"/>
        </w:rPr>
      </w:pPr>
      <w:r w:rsidRPr="00197A57">
        <w:rPr>
          <w:rFonts w:ascii="Calibri" w:hAnsi="Calibri"/>
          <w:color w:val="000000" w:themeColor="text1"/>
          <w:u w:val="single"/>
        </w:rPr>
        <w:t>Rental Assistance</w:t>
      </w:r>
      <w:r w:rsidRPr="00197A57">
        <w:rPr>
          <w:rFonts w:ascii="Calibri" w:hAnsi="Calibri"/>
          <w:color w:val="000000" w:themeColor="text1"/>
        </w:rPr>
        <w:t xml:space="preserve"> 24 CFR § 578.51 (CoC)</w:t>
      </w:r>
    </w:p>
    <w:p w14:paraId="5BCA2BB9" w14:textId="2DE5151C" w:rsidR="00197A57" w:rsidRPr="00197A57" w:rsidRDefault="00197A57">
      <w:pPr>
        <w:pStyle w:val="ListParagraph"/>
        <w:numPr>
          <w:ilvl w:val="1"/>
          <w:numId w:val="136"/>
        </w:numPr>
        <w:rPr>
          <w:rFonts w:ascii="Calibri" w:hAnsi="Calibri"/>
          <w:color w:val="000000" w:themeColor="text1"/>
        </w:rPr>
      </w:pPr>
      <w:r w:rsidRPr="00197A57">
        <w:rPr>
          <w:rFonts w:ascii="Calibri" w:hAnsi="Calibri"/>
          <w:color w:val="000000" w:themeColor="text1"/>
        </w:rPr>
        <w:t xml:space="preserve">Rental assistance funds may be used to provide households with short-, medium-or long-term rental assistance. Rental assistance cannot be provided to households who are already receiving rental assistance or living </w:t>
      </w:r>
      <w:r w:rsidRPr="00197A57">
        <w:rPr>
          <w:rFonts w:ascii="Calibri" w:hAnsi="Calibri" w:cs="Arial"/>
          <w:color w:val="000000" w:themeColor="text1"/>
        </w:rPr>
        <w:t>in a housing unit receiving rental assistance or operating assistance through other federal, State, or local sources, excluding transfers between programs.</w:t>
      </w:r>
    </w:p>
    <w:p w14:paraId="4867A212" w14:textId="72EAEA25" w:rsidR="00197A57" w:rsidRPr="00197A57" w:rsidRDefault="00197A57">
      <w:pPr>
        <w:pStyle w:val="ListParagraph"/>
        <w:numPr>
          <w:ilvl w:val="1"/>
          <w:numId w:val="136"/>
        </w:numPr>
        <w:rPr>
          <w:rFonts w:ascii="Calibri" w:hAnsi="Calibri"/>
          <w:color w:val="000000" w:themeColor="text1"/>
        </w:rPr>
      </w:pPr>
      <w:r w:rsidRPr="00197A57">
        <w:rPr>
          <w:rFonts w:ascii="Calibri" w:hAnsi="Calibri"/>
          <w:color w:val="000000" w:themeColor="text1"/>
        </w:rPr>
        <w:t>For more information about CoC rental assistance requirements, please see pg. 26-27.</w:t>
      </w:r>
    </w:p>
    <w:p w14:paraId="392578F7" w14:textId="55EC90CD" w:rsidR="00197A57" w:rsidRPr="00197A57" w:rsidRDefault="00197A57">
      <w:pPr>
        <w:pStyle w:val="ListParagraph"/>
        <w:numPr>
          <w:ilvl w:val="0"/>
          <w:numId w:val="134"/>
        </w:numPr>
        <w:rPr>
          <w:rFonts w:ascii="Calibri" w:hAnsi="Calibri"/>
          <w:color w:val="000000" w:themeColor="text1"/>
        </w:rPr>
      </w:pPr>
      <w:r w:rsidRPr="00197A57">
        <w:rPr>
          <w:rFonts w:ascii="Calibri" w:hAnsi="Calibri"/>
          <w:color w:val="000000" w:themeColor="text1"/>
          <w:u w:val="single"/>
        </w:rPr>
        <w:t>Supportive Services</w:t>
      </w:r>
      <w:r w:rsidRPr="00197A57">
        <w:rPr>
          <w:rFonts w:ascii="Calibri" w:hAnsi="Calibri"/>
          <w:color w:val="000000" w:themeColor="text1"/>
        </w:rPr>
        <w:t xml:space="preserve"> 24 CFR § 578.53 (CoC)</w:t>
      </w:r>
    </w:p>
    <w:p w14:paraId="6F7BEC80" w14:textId="6395D762" w:rsidR="00197A57" w:rsidRPr="00197A57" w:rsidRDefault="00197A57">
      <w:pPr>
        <w:pStyle w:val="ListParagraph"/>
        <w:numPr>
          <w:ilvl w:val="1"/>
          <w:numId w:val="137"/>
        </w:numPr>
        <w:rPr>
          <w:rFonts w:ascii="Calibri" w:hAnsi="Calibri"/>
          <w:color w:val="000000" w:themeColor="text1"/>
        </w:rPr>
      </w:pPr>
      <w:r w:rsidRPr="00197A57">
        <w:rPr>
          <w:rFonts w:ascii="Calibri" w:hAnsi="Calibri"/>
          <w:color w:val="000000" w:themeColor="text1"/>
        </w:rPr>
        <w:lastRenderedPageBreak/>
        <w:t>Supportive services funds may be used to provide supportive services that address the special needs of households. Services must be limited to those which assist households in obtaining and maintaining housing. Ongoing, at least annual, assessments of service needs are required, and services should be adjusted accordingly. Where supportive services are provided within a facility not contained in a housing structure, the costs of operation of the facility are eligible, including maintenance, repair, building security, utilities and equipment.</w:t>
      </w:r>
    </w:p>
    <w:p w14:paraId="0674B71A" w14:textId="31064341" w:rsidR="00197A57" w:rsidRDefault="00197A57">
      <w:pPr>
        <w:pStyle w:val="ListParagraph"/>
        <w:numPr>
          <w:ilvl w:val="0"/>
          <w:numId w:val="134"/>
        </w:numPr>
        <w:rPr>
          <w:rFonts w:ascii="Calibri" w:hAnsi="Calibri"/>
          <w:color w:val="000000" w:themeColor="text1"/>
        </w:rPr>
      </w:pPr>
      <w:r w:rsidRPr="00197A57">
        <w:rPr>
          <w:rFonts w:ascii="Calibri" w:hAnsi="Calibri"/>
          <w:color w:val="000000" w:themeColor="text1"/>
          <w:u w:val="single"/>
        </w:rPr>
        <w:t>Operating Costs</w:t>
      </w:r>
      <w:r w:rsidRPr="00197A57">
        <w:rPr>
          <w:rFonts w:ascii="Calibri" w:hAnsi="Calibri"/>
          <w:color w:val="000000" w:themeColor="text1"/>
        </w:rPr>
        <w:t xml:space="preserve"> 24 CFR § 578.55 (CoC)</w:t>
      </w:r>
    </w:p>
    <w:p w14:paraId="18E3F979" w14:textId="0D31D379" w:rsidR="00197A57" w:rsidRPr="00197A57" w:rsidRDefault="00197A57">
      <w:pPr>
        <w:pStyle w:val="ListParagraph"/>
        <w:numPr>
          <w:ilvl w:val="1"/>
          <w:numId w:val="138"/>
        </w:numPr>
        <w:rPr>
          <w:rFonts w:ascii="Calibri" w:hAnsi="Calibri"/>
          <w:color w:val="000000" w:themeColor="text1"/>
        </w:rPr>
      </w:pPr>
      <w:r w:rsidRPr="00197A57">
        <w:rPr>
          <w:rFonts w:ascii="Calibri" w:hAnsi="Calibri"/>
          <w:color w:val="000000" w:themeColor="text1"/>
        </w:rPr>
        <w:t>Operating funds may be used to pay the day-to-day costs of operation of transitional and permanent housing in a single structure or individual units. Operating costs for supportive service facilities are considered supportive services.</w:t>
      </w:r>
    </w:p>
    <w:p w14:paraId="14FF81CC" w14:textId="77777777" w:rsidR="000052F3" w:rsidRPr="00197A57" w:rsidRDefault="000052F3" w:rsidP="000604EE">
      <w:pPr>
        <w:pStyle w:val="ListParagraph"/>
        <w:autoSpaceDE w:val="0"/>
        <w:autoSpaceDN w:val="0"/>
        <w:adjustRightInd w:val="0"/>
        <w:ind w:left="2160"/>
        <w:rPr>
          <w:rFonts w:ascii="Calibri" w:hAnsi="Calibri"/>
          <w:color w:val="000000" w:themeColor="text1"/>
          <w:sz w:val="20"/>
          <w:szCs w:val="20"/>
        </w:rPr>
      </w:pPr>
    </w:p>
    <w:tbl>
      <w:tblPr>
        <w:tblStyle w:val="GridTable4-Accent1"/>
        <w:tblW w:w="8725" w:type="dxa"/>
        <w:jc w:val="center"/>
        <w:tblLook w:val="04A0" w:firstRow="1" w:lastRow="0" w:firstColumn="1" w:lastColumn="0" w:noHBand="0" w:noVBand="1"/>
      </w:tblPr>
      <w:tblGrid>
        <w:gridCol w:w="2337"/>
        <w:gridCol w:w="2338"/>
        <w:gridCol w:w="2337"/>
        <w:gridCol w:w="1713"/>
      </w:tblGrid>
      <w:tr w:rsidR="00442BDB" w:rsidRPr="00197A57" w14:paraId="0F40F457" w14:textId="77777777" w:rsidTr="00F448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25" w:type="dxa"/>
            <w:gridSpan w:val="4"/>
          </w:tcPr>
          <w:p w14:paraId="354766D6"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CoC Operating – Eligible Costs</w:t>
            </w:r>
          </w:p>
        </w:tc>
      </w:tr>
      <w:tr w:rsidR="00442BDB" w:rsidRPr="00197A57" w14:paraId="40058F84" w14:textId="77777777" w:rsidTr="00F448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25" w:type="dxa"/>
            <w:gridSpan w:val="4"/>
          </w:tcPr>
          <w:p w14:paraId="49EA63DA"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Model of Assistance</w:t>
            </w:r>
          </w:p>
        </w:tc>
      </w:tr>
      <w:tr w:rsidR="00442BDB" w:rsidRPr="00197A57" w14:paraId="601C247E" w14:textId="77777777" w:rsidTr="00F44868">
        <w:trPr>
          <w:jc w:val="center"/>
        </w:trPr>
        <w:tc>
          <w:tcPr>
            <w:cnfStyle w:val="001000000000" w:firstRow="0" w:lastRow="0" w:firstColumn="1" w:lastColumn="0" w:oddVBand="0" w:evenVBand="0" w:oddHBand="0" w:evenHBand="0" w:firstRowFirstColumn="0" w:firstRowLastColumn="0" w:lastRowFirstColumn="0" w:lastRowLastColumn="0"/>
            <w:tcW w:w="4675" w:type="dxa"/>
            <w:gridSpan w:val="2"/>
          </w:tcPr>
          <w:p w14:paraId="305F9551"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Structure</w:t>
            </w:r>
          </w:p>
        </w:tc>
        <w:tc>
          <w:tcPr>
            <w:tcW w:w="4050" w:type="dxa"/>
            <w:gridSpan w:val="2"/>
          </w:tcPr>
          <w:p w14:paraId="5DF02083" w14:textId="77777777" w:rsidR="00A63848" w:rsidRPr="00197A57" w:rsidRDefault="00A63848"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Individual Units</w:t>
            </w:r>
          </w:p>
        </w:tc>
      </w:tr>
      <w:tr w:rsidR="00442BDB" w:rsidRPr="00197A57" w14:paraId="48805903" w14:textId="77777777" w:rsidTr="00F448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25" w:type="dxa"/>
            <w:gridSpan w:val="4"/>
          </w:tcPr>
          <w:p w14:paraId="32B0ECFC"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Eligible Costs</w:t>
            </w:r>
          </w:p>
        </w:tc>
      </w:tr>
      <w:tr w:rsidR="00442BDB" w:rsidRPr="00197A57" w14:paraId="3820FAFF" w14:textId="77777777" w:rsidTr="00F44868">
        <w:trPr>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7EE39D48"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Repair &amp; Maintenance</w:t>
            </w:r>
          </w:p>
        </w:tc>
        <w:tc>
          <w:tcPr>
            <w:tcW w:w="2338" w:type="dxa"/>
            <w:shd w:val="clear" w:color="auto" w:fill="auto"/>
          </w:tcPr>
          <w:p w14:paraId="7D15C126" w14:textId="77777777" w:rsidR="00A63848" w:rsidRPr="00197A57" w:rsidRDefault="00A63848"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Property Tax &amp; Insurance</w:t>
            </w:r>
          </w:p>
        </w:tc>
        <w:tc>
          <w:tcPr>
            <w:tcW w:w="2337" w:type="dxa"/>
            <w:vMerge w:val="restart"/>
            <w:shd w:val="clear" w:color="auto" w:fill="auto"/>
          </w:tcPr>
          <w:p w14:paraId="469FC185" w14:textId="77777777" w:rsidR="00A63848" w:rsidRPr="00197A57" w:rsidRDefault="00A63848"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Scheduled payments to reserve</w:t>
            </w:r>
          </w:p>
        </w:tc>
        <w:tc>
          <w:tcPr>
            <w:tcW w:w="1713" w:type="dxa"/>
            <w:shd w:val="clear" w:color="auto" w:fill="auto"/>
          </w:tcPr>
          <w:p w14:paraId="79CFE8C0" w14:textId="77777777" w:rsidR="00A63848" w:rsidRPr="00197A57" w:rsidRDefault="00A63848"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Security*</w:t>
            </w:r>
          </w:p>
        </w:tc>
      </w:tr>
      <w:tr w:rsidR="00442BDB" w:rsidRPr="00197A57" w14:paraId="0A3EAAC5" w14:textId="77777777" w:rsidTr="00F448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6449DC2E"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Electricity, Gas &amp; Water</w:t>
            </w:r>
          </w:p>
        </w:tc>
        <w:tc>
          <w:tcPr>
            <w:tcW w:w="2338" w:type="dxa"/>
            <w:shd w:val="clear" w:color="auto" w:fill="auto"/>
          </w:tcPr>
          <w:p w14:paraId="0090BEDC" w14:textId="77777777" w:rsidR="00A63848" w:rsidRPr="00197A57" w:rsidRDefault="00A63848"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Furniture</w:t>
            </w:r>
          </w:p>
        </w:tc>
        <w:tc>
          <w:tcPr>
            <w:tcW w:w="2337" w:type="dxa"/>
            <w:vMerge/>
            <w:shd w:val="clear" w:color="auto" w:fill="auto"/>
          </w:tcPr>
          <w:p w14:paraId="4BF6B1D9" w14:textId="77777777" w:rsidR="00A63848" w:rsidRPr="00197A57" w:rsidRDefault="00A63848"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rPr>
            </w:pPr>
          </w:p>
        </w:tc>
        <w:tc>
          <w:tcPr>
            <w:tcW w:w="1713" w:type="dxa"/>
            <w:shd w:val="clear" w:color="auto" w:fill="auto"/>
          </w:tcPr>
          <w:p w14:paraId="5211A6F3" w14:textId="77777777" w:rsidR="00A63848" w:rsidRPr="00197A57" w:rsidRDefault="00A63848"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Equipment</w:t>
            </w:r>
          </w:p>
        </w:tc>
      </w:tr>
      <w:tr w:rsidR="00442BDB" w:rsidRPr="00197A57" w14:paraId="65B58274" w14:textId="77777777" w:rsidTr="00F44868">
        <w:trPr>
          <w:jc w:val="center"/>
        </w:trPr>
        <w:tc>
          <w:tcPr>
            <w:cnfStyle w:val="001000000000" w:firstRow="0" w:lastRow="0" w:firstColumn="1" w:lastColumn="0" w:oddVBand="0" w:evenVBand="0" w:oddHBand="0" w:evenHBand="0" w:firstRowFirstColumn="0" w:firstRowLastColumn="0" w:lastRowFirstColumn="0" w:lastRowLastColumn="0"/>
            <w:tcW w:w="8725" w:type="dxa"/>
            <w:gridSpan w:val="4"/>
          </w:tcPr>
          <w:p w14:paraId="212A1006"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*Where &gt;50% of the units are paid for with grant funds</w:t>
            </w:r>
          </w:p>
        </w:tc>
      </w:tr>
    </w:tbl>
    <w:p w14:paraId="7F5A98E5" w14:textId="1FCAE18D" w:rsidR="00A63848" w:rsidRDefault="00A63848" w:rsidP="000604EE">
      <w:pPr>
        <w:autoSpaceDE w:val="0"/>
        <w:autoSpaceDN w:val="0"/>
        <w:adjustRightInd w:val="0"/>
        <w:contextualSpacing/>
        <w:rPr>
          <w:rFonts w:ascii="Calibri" w:hAnsi="Calibri" w:cs="Calibri"/>
          <w:color w:val="000000" w:themeColor="text1"/>
          <w:highlight w:val="cyan"/>
        </w:rPr>
      </w:pPr>
    </w:p>
    <w:p w14:paraId="453B9286" w14:textId="58FB5E53" w:rsidR="00580081" w:rsidRDefault="00580081" w:rsidP="000604EE">
      <w:pPr>
        <w:autoSpaceDE w:val="0"/>
        <w:autoSpaceDN w:val="0"/>
        <w:adjustRightInd w:val="0"/>
        <w:contextualSpacing/>
        <w:rPr>
          <w:rFonts w:ascii="Calibri" w:hAnsi="Calibri" w:cs="Calibri"/>
          <w:color w:val="000000" w:themeColor="text1"/>
          <w:highlight w:val="cyan"/>
        </w:rPr>
      </w:pPr>
    </w:p>
    <w:p w14:paraId="3E5E87E5" w14:textId="4B902BB1" w:rsidR="00580081" w:rsidRDefault="00580081" w:rsidP="000604EE">
      <w:pPr>
        <w:autoSpaceDE w:val="0"/>
        <w:autoSpaceDN w:val="0"/>
        <w:adjustRightInd w:val="0"/>
        <w:contextualSpacing/>
        <w:rPr>
          <w:rFonts w:ascii="Calibri" w:hAnsi="Calibri" w:cs="Calibri"/>
          <w:color w:val="000000" w:themeColor="text1"/>
          <w:highlight w:val="cyan"/>
        </w:rPr>
      </w:pPr>
    </w:p>
    <w:p w14:paraId="74E8F46C" w14:textId="77777777" w:rsidR="00580081" w:rsidRPr="00493B95" w:rsidRDefault="00580081" w:rsidP="000604EE">
      <w:pPr>
        <w:autoSpaceDE w:val="0"/>
        <w:autoSpaceDN w:val="0"/>
        <w:adjustRightInd w:val="0"/>
        <w:contextualSpacing/>
        <w:rPr>
          <w:rFonts w:ascii="Calibri" w:hAnsi="Calibri" w:cs="Calibri"/>
          <w:color w:val="000000" w:themeColor="text1"/>
          <w:highlight w:val="cyan"/>
        </w:rPr>
      </w:pPr>
    </w:p>
    <w:tbl>
      <w:tblPr>
        <w:tblStyle w:val="GridTable4-Accent1"/>
        <w:tblW w:w="13045" w:type="dxa"/>
        <w:tblLook w:val="04A0" w:firstRow="1" w:lastRow="0" w:firstColumn="1" w:lastColumn="0" w:noHBand="0" w:noVBand="1"/>
      </w:tblPr>
      <w:tblGrid>
        <w:gridCol w:w="4675"/>
        <w:gridCol w:w="8370"/>
      </w:tblGrid>
      <w:tr w:rsidR="00442BDB" w:rsidRPr="00197A57" w14:paraId="46673EFF" w14:textId="77777777" w:rsidTr="00F448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5" w:type="dxa"/>
            <w:gridSpan w:val="2"/>
          </w:tcPr>
          <w:p w14:paraId="51A87397"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CoC Operating – Key Requirements</w:t>
            </w:r>
          </w:p>
        </w:tc>
      </w:tr>
      <w:tr w:rsidR="00442BDB" w:rsidRPr="00197A57" w14:paraId="687F4CC7" w14:textId="77777777" w:rsidTr="00F44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01E89FFF"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Unit Rent Standard</w:t>
            </w:r>
          </w:p>
        </w:tc>
        <w:tc>
          <w:tcPr>
            <w:tcW w:w="8370" w:type="dxa"/>
            <w:shd w:val="clear" w:color="auto" w:fill="auto"/>
          </w:tcPr>
          <w:p w14:paraId="544EA791" w14:textId="77777777" w:rsidR="00A63848" w:rsidRPr="00197A57" w:rsidRDefault="00A63848"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Not applicable.</w:t>
            </w:r>
          </w:p>
        </w:tc>
      </w:tr>
      <w:tr w:rsidR="00442BDB" w:rsidRPr="00197A57" w14:paraId="3F013BE5" w14:textId="77777777" w:rsidTr="00F44868">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76B15CBC"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Unit Lease</w:t>
            </w:r>
          </w:p>
          <w:p w14:paraId="0D3F8E76" w14:textId="77777777" w:rsidR="00A63848" w:rsidRPr="00197A57" w:rsidRDefault="00A63848" w:rsidP="000604EE">
            <w:pPr>
              <w:autoSpaceDE w:val="0"/>
              <w:autoSpaceDN w:val="0"/>
              <w:adjustRightInd w:val="0"/>
              <w:contextualSpacing/>
              <w:rPr>
                <w:rFonts w:ascii="Calibri" w:hAnsi="Calibri"/>
                <w:b w:val="0"/>
                <w:bCs w:val="0"/>
                <w:color w:val="000000" w:themeColor="text1"/>
                <w:sz w:val="16"/>
                <w:szCs w:val="16"/>
              </w:rPr>
            </w:pPr>
          </w:p>
        </w:tc>
        <w:tc>
          <w:tcPr>
            <w:tcW w:w="8370" w:type="dxa"/>
            <w:shd w:val="clear" w:color="auto" w:fill="auto"/>
          </w:tcPr>
          <w:p w14:paraId="5A490993" w14:textId="4284AECC" w:rsidR="00A63848" w:rsidRPr="00197A57" w:rsidRDefault="001B04C0"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Household</w:t>
            </w:r>
            <w:r w:rsidR="00A63848" w:rsidRPr="00197A57">
              <w:rPr>
                <w:rFonts w:ascii="Calibri" w:hAnsi="Calibri" w:cs="Calibri"/>
                <w:color w:val="000000" w:themeColor="text1"/>
              </w:rPr>
              <w:t xml:space="preserve">s must have a lease or occupancy agreement with the </w:t>
            </w:r>
            <w:r w:rsidRPr="00197A57">
              <w:rPr>
                <w:rFonts w:ascii="Calibri" w:hAnsi="Calibri" w:cs="Calibri"/>
                <w:color w:val="000000" w:themeColor="text1"/>
              </w:rPr>
              <w:t>service provider</w:t>
            </w:r>
            <w:r w:rsidR="00A63848" w:rsidRPr="00197A57">
              <w:rPr>
                <w:rFonts w:ascii="Calibri" w:hAnsi="Calibri" w:cs="Calibri"/>
                <w:color w:val="000000" w:themeColor="text1"/>
              </w:rPr>
              <w:t>.</w:t>
            </w:r>
          </w:p>
        </w:tc>
      </w:tr>
      <w:tr w:rsidR="00442BDB" w:rsidRPr="00197A57" w14:paraId="1D53F56A" w14:textId="77777777" w:rsidTr="00F44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2D63A4D2" w14:textId="68E3470E" w:rsidR="00A63848" w:rsidRPr="00197A57" w:rsidRDefault="001B04C0"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 xml:space="preserve">Household </w:t>
            </w:r>
            <w:r w:rsidR="00A63848" w:rsidRPr="00197A57">
              <w:rPr>
                <w:rFonts w:ascii="Calibri" w:hAnsi="Calibri" w:cs="Calibri"/>
                <w:b w:val="0"/>
                <w:bCs w:val="0"/>
                <w:color w:val="000000" w:themeColor="text1"/>
              </w:rPr>
              <w:t>Rent</w:t>
            </w:r>
            <w:r w:rsidRPr="00197A57">
              <w:rPr>
                <w:rFonts w:ascii="Calibri" w:hAnsi="Calibri" w:cs="Calibri"/>
                <w:b w:val="0"/>
                <w:bCs w:val="0"/>
                <w:color w:val="000000" w:themeColor="text1"/>
              </w:rPr>
              <w:t xml:space="preserve"> Contribution</w:t>
            </w:r>
          </w:p>
        </w:tc>
        <w:tc>
          <w:tcPr>
            <w:tcW w:w="8370" w:type="dxa"/>
            <w:shd w:val="clear" w:color="auto" w:fill="auto"/>
          </w:tcPr>
          <w:p w14:paraId="62B6E3F4" w14:textId="2CB3CBFC" w:rsidR="00A63848" w:rsidRPr="00197A57" w:rsidRDefault="001B04C0"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Service providers</w:t>
            </w:r>
            <w:r w:rsidR="00A63848" w:rsidRPr="00197A57">
              <w:rPr>
                <w:rFonts w:ascii="Calibri" w:hAnsi="Calibri" w:cs="Calibri"/>
                <w:color w:val="000000" w:themeColor="text1"/>
              </w:rPr>
              <w:t xml:space="preserve"> are not required to have </w:t>
            </w:r>
            <w:r w:rsidRPr="00197A57">
              <w:rPr>
                <w:rFonts w:ascii="Calibri" w:hAnsi="Calibri" w:cs="Calibri"/>
                <w:color w:val="000000" w:themeColor="text1"/>
              </w:rPr>
              <w:t>households</w:t>
            </w:r>
            <w:r w:rsidR="00A63848" w:rsidRPr="00197A57">
              <w:rPr>
                <w:rFonts w:ascii="Calibri" w:hAnsi="Calibri" w:cs="Calibri"/>
                <w:color w:val="000000" w:themeColor="text1"/>
              </w:rPr>
              <w:t xml:space="preserve"> pay rent, but if they choose to charge </w:t>
            </w:r>
            <w:r w:rsidRPr="00197A57">
              <w:rPr>
                <w:rFonts w:ascii="Calibri" w:hAnsi="Calibri" w:cs="Calibri"/>
                <w:color w:val="000000" w:themeColor="text1"/>
              </w:rPr>
              <w:t>households</w:t>
            </w:r>
            <w:r w:rsidR="00A63848" w:rsidRPr="00197A57">
              <w:rPr>
                <w:rFonts w:ascii="Calibri" w:hAnsi="Calibri" w:cs="Calibri"/>
                <w:color w:val="000000" w:themeColor="text1"/>
              </w:rPr>
              <w:t xml:space="preserve"> rent, the rent must be calculated in accordance with 24 CFR § </w:t>
            </w:r>
            <w:r w:rsidR="00BA60F0" w:rsidRPr="00197A57">
              <w:rPr>
                <w:rFonts w:ascii="Calibri" w:hAnsi="Calibri" w:cs="Calibri"/>
                <w:color w:val="000000" w:themeColor="text1"/>
              </w:rPr>
              <w:t>578.77 and</w:t>
            </w:r>
            <w:r w:rsidR="00A63848" w:rsidRPr="00197A57">
              <w:rPr>
                <w:rFonts w:ascii="Calibri" w:hAnsi="Calibri" w:cs="Calibri"/>
                <w:color w:val="000000" w:themeColor="text1"/>
              </w:rPr>
              <w:t xml:space="preserve"> cannot exceed the highest of 30% of the </w:t>
            </w:r>
            <w:r w:rsidRPr="00197A57">
              <w:rPr>
                <w:rFonts w:ascii="Calibri" w:hAnsi="Calibri" w:cs="Calibri"/>
                <w:color w:val="000000" w:themeColor="text1"/>
              </w:rPr>
              <w:t>household</w:t>
            </w:r>
            <w:r w:rsidR="00A63848" w:rsidRPr="00197A57">
              <w:rPr>
                <w:rFonts w:ascii="Calibri" w:hAnsi="Calibri" w:cs="Calibri"/>
                <w:color w:val="000000" w:themeColor="text1"/>
              </w:rPr>
              <w:t xml:space="preserve">’s adjusted monthly income, 10% of the </w:t>
            </w:r>
            <w:r w:rsidRPr="00197A57">
              <w:rPr>
                <w:rFonts w:ascii="Calibri" w:hAnsi="Calibri" w:cs="Calibri"/>
                <w:color w:val="000000" w:themeColor="text1"/>
              </w:rPr>
              <w:t>household</w:t>
            </w:r>
            <w:r w:rsidR="00A63848" w:rsidRPr="00197A57">
              <w:rPr>
                <w:rFonts w:ascii="Calibri" w:hAnsi="Calibri" w:cs="Calibri"/>
                <w:color w:val="000000" w:themeColor="text1"/>
              </w:rPr>
              <w:t xml:space="preserve">’s monthly income, or the welfare rent. Any </w:t>
            </w:r>
            <w:r w:rsidRPr="00197A57">
              <w:rPr>
                <w:rFonts w:ascii="Calibri" w:hAnsi="Calibri" w:cs="Calibri"/>
                <w:color w:val="000000" w:themeColor="text1"/>
              </w:rPr>
              <w:t>household</w:t>
            </w:r>
            <w:r w:rsidR="00A63848" w:rsidRPr="00197A57">
              <w:rPr>
                <w:rFonts w:ascii="Calibri" w:hAnsi="Calibri" w:cs="Calibri"/>
                <w:color w:val="000000" w:themeColor="text1"/>
              </w:rPr>
              <w:t xml:space="preserve"> rent that is collected is considered Program Income and must be used for eligible costs in accordance with 24 CFR § 578.97.</w:t>
            </w:r>
          </w:p>
        </w:tc>
      </w:tr>
    </w:tbl>
    <w:p w14:paraId="3D024B67" w14:textId="77777777" w:rsidR="00197A57" w:rsidRPr="00197A57" w:rsidRDefault="00197A57" w:rsidP="00197A57">
      <w:pPr>
        <w:pStyle w:val="ListParagraph"/>
        <w:ind w:left="1440"/>
        <w:rPr>
          <w:rFonts w:ascii="Calibri" w:hAnsi="Calibri"/>
          <w:color w:val="000000" w:themeColor="text1"/>
        </w:rPr>
      </w:pPr>
    </w:p>
    <w:p w14:paraId="5B25B28B" w14:textId="1C139586" w:rsidR="00197A57" w:rsidRPr="00197A57" w:rsidRDefault="00197A57">
      <w:pPr>
        <w:pStyle w:val="ListParagraph"/>
        <w:numPr>
          <w:ilvl w:val="0"/>
          <w:numId w:val="134"/>
        </w:numPr>
        <w:rPr>
          <w:rFonts w:ascii="Calibri" w:hAnsi="Calibri"/>
          <w:color w:val="000000" w:themeColor="text1"/>
        </w:rPr>
      </w:pPr>
      <w:r w:rsidRPr="00197A57">
        <w:rPr>
          <w:rFonts w:ascii="Calibri" w:hAnsi="Calibri"/>
          <w:color w:val="000000" w:themeColor="text1"/>
          <w:u w:val="single"/>
        </w:rPr>
        <w:t>HMIS</w:t>
      </w:r>
      <w:r w:rsidRPr="00197A57">
        <w:rPr>
          <w:rFonts w:ascii="Calibri" w:hAnsi="Calibri"/>
          <w:color w:val="000000" w:themeColor="text1"/>
        </w:rPr>
        <w:t xml:space="preserve"> 24 CFR § 578.57 (CoC)</w:t>
      </w:r>
    </w:p>
    <w:p w14:paraId="004EF159" w14:textId="5C14F725" w:rsidR="00197A57" w:rsidRPr="00197A57" w:rsidRDefault="00197A57">
      <w:pPr>
        <w:pStyle w:val="ListParagraph"/>
        <w:numPr>
          <w:ilvl w:val="1"/>
          <w:numId w:val="139"/>
        </w:numPr>
        <w:rPr>
          <w:rFonts w:ascii="Calibri" w:hAnsi="Calibri"/>
          <w:color w:val="000000" w:themeColor="text1"/>
        </w:rPr>
      </w:pPr>
      <w:r w:rsidRPr="00197A57">
        <w:rPr>
          <w:rFonts w:ascii="Calibri" w:hAnsi="Calibri"/>
          <w:color w:val="000000" w:themeColor="text1"/>
        </w:rPr>
        <w:t>HMIS funds may be used to pay the costs of contributing data to the CSCoC Homeless Management Information System (HMIS).</w:t>
      </w:r>
    </w:p>
    <w:p w14:paraId="165C52BB" w14:textId="27F5CC3F" w:rsidR="003C1BD2" w:rsidRDefault="003C1BD2" w:rsidP="000604EE">
      <w:pPr>
        <w:autoSpaceDE w:val="0"/>
        <w:autoSpaceDN w:val="0"/>
        <w:adjustRightInd w:val="0"/>
        <w:ind w:left="1980"/>
        <w:contextualSpacing/>
        <w:rPr>
          <w:rFonts w:ascii="Calibri" w:hAnsi="Calibri"/>
          <w:color w:val="000000" w:themeColor="text1"/>
        </w:rPr>
      </w:pPr>
    </w:p>
    <w:p w14:paraId="1BA94DDA" w14:textId="77777777" w:rsidR="00580081" w:rsidRPr="00197A57" w:rsidRDefault="00580081" w:rsidP="000604EE">
      <w:pPr>
        <w:autoSpaceDE w:val="0"/>
        <w:autoSpaceDN w:val="0"/>
        <w:adjustRightInd w:val="0"/>
        <w:ind w:left="1980"/>
        <w:contextualSpacing/>
        <w:rPr>
          <w:rFonts w:ascii="Calibri" w:hAnsi="Calibri"/>
          <w:color w:val="000000" w:themeColor="text1"/>
        </w:rPr>
      </w:pPr>
    </w:p>
    <w:tbl>
      <w:tblPr>
        <w:tblStyle w:val="GridTable4-Accent1"/>
        <w:tblW w:w="9535" w:type="dxa"/>
        <w:jc w:val="center"/>
        <w:tblLook w:val="04A0" w:firstRow="1" w:lastRow="0" w:firstColumn="1" w:lastColumn="0" w:noHBand="0" w:noVBand="1"/>
      </w:tblPr>
      <w:tblGrid>
        <w:gridCol w:w="2337"/>
        <w:gridCol w:w="2337"/>
        <w:gridCol w:w="2338"/>
        <w:gridCol w:w="2523"/>
      </w:tblGrid>
      <w:tr w:rsidR="00442BDB" w:rsidRPr="00197A57" w14:paraId="3E6C324C" w14:textId="77777777" w:rsidTr="00F448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35" w:type="dxa"/>
            <w:gridSpan w:val="4"/>
          </w:tcPr>
          <w:p w14:paraId="5475989A"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CoC HMIS – Eligible Costs</w:t>
            </w:r>
          </w:p>
        </w:tc>
      </w:tr>
      <w:tr w:rsidR="00442BDB" w:rsidRPr="00197A57" w14:paraId="39D97063" w14:textId="77777777" w:rsidTr="00F448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57D26C18"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Purchasing/Leasing</w:t>
            </w:r>
          </w:p>
          <w:p w14:paraId="3E89B06E"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Computer Hardware</w:t>
            </w:r>
          </w:p>
        </w:tc>
        <w:tc>
          <w:tcPr>
            <w:tcW w:w="2337" w:type="dxa"/>
            <w:shd w:val="clear" w:color="auto" w:fill="auto"/>
          </w:tcPr>
          <w:p w14:paraId="43425263" w14:textId="77777777" w:rsidR="00A63848" w:rsidRPr="00197A57" w:rsidRDefault="00A63848"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Purchasing Software or</w:t>
            </w:r>
          </w:p>
          <w:p w14:paraId="625F856A" w14:textId="77777777" w:rsidR="00A63848" w:rsidRPr="00197A57" w:rsidRDefault="00A63848"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Software Licenses</w:t>
            </w:r>
          </w:p>
        </w:tc>
        <w:tc>
          <w:tcPr>
            <w:tcW w:w="2338" w:type="dxa"/>
            <w:shd w:val="clear" w:color="auto" w:fill="auto"/>
          </w:tcPr>
          <w:p w14:paraId="058E3177" w14:textId="77777777" w:rsidR="00A63848" w:rsidRPr="00197A57" w:rsidRDefault="00A63848"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Purchasing/Leasing</w:t>
            </w:r>
          </w:p>
          <w:p w14:paraId="3B0C62AB" w14:textId="77777777" w:rsidR="00A63848" w:rsidRPr="00197A57" w:rsidRDefault="00A63848"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Equipment</w:t>
            </w:r>
          </w:p>
          <w:p w14:paraId="65321C0D" w14:textId="77777777" w:rsidR="00A63848" w:rsidRPr="00197A57" w:rsidRDefault="00A63848"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w:t>
            </w:r>
            <w:proofErr w:type="gramStart"/>
            <w:r w:rsidRPr="00197A57">
              <w:rPr>
                <w:rFonts w:ascii="Calibri" w:hAnsi="Calibri" w:cs="Calibri"/>
                <w:color w:val="000000" w:themeColor="text1"/>
              </w:rPr>
              <w:t>telephones</w:t>
            </w:r>
            <w:proofErr w:type="gramEnd"/>
            <w:r w:rsidRPr="00197A57">
              <w:rPr>
                <w:rFonts w:ascii="Calibri" w:hAnsi="Calibri" w:cs="Calibri"/>
                <w:color w:val="000000" w:themeColor="text1"/>
              </w:rPr>
              <w:t>, fax</w:t>
            </w:r>
          </w:p>
          <w:p w14:paraId="4E6B0812" w14:textId="77777777" w:rsidR="00A63848" w:rsidRPr="00197A57" w:rsidRDefault="00A63848"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machines, furniture)</w:t>
            </w:r>
          </w:p>
        </w:tc>
        <w:tc>
          <w:tcPr>
            <w:tcW w:w="2523" w:type="dxa"/>
            <w:shd w:val="clear" w:color="auto" w:fill="auto"/>
          </w:tcPr>
          <w:p w14:paraId="7B218336" w14:textId="77777777" w:rsidR="00A63848" w:rsidRPr="00197A57" w:rsidRDefault="00A63848"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Obtaining Technical</w:t>
            </w:r>
          </w:p>
          <w:p w14:paraId="4FB3A54E" w14:textId="77777777" w:rsidR="00A63848" w:rsidRPr="00197A57" w:rsidRDefault="00A63848"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Support</w:t>
            </w:r>
          </w:p>
        </w:tc>
      </w:tr>
      <w:tr w:rsidR="00442BDB" w:rsidRPr="00197A57" w14:paraId="010CCD2A" w14:textId="77777777" w:rsidTr="00F44868">
        <w:trPr>
          <w:trHeight w:val="375"/>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65B951A4"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Leasing Office Space</w:t>
            </w:r>
          </w:p>
        </w:tc>
        <w:tc>
          <w:tcPr>
            <w:tcW w:w="2337" w:type="dxa"/>
            <w:vMerge w:val="restart"/>
            <w:shd w:val="clear" w:color="auto" w:fill="auto"/>
          </w:tcPr>
          <w:p w14:paraId="117DEBF4" w14:textId="77777777" w:rsidR="00A63848" w:rsidRPr="00197A57" w:rsidRDefault="00A63848"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Electricity, Gas, Water,</w:t>
            </w:r>
          </w:p>
          <w:p w14:paraId="26D1AE48" w14:textId="77777777" w:rsidR="00A63848" w:rsidRPr="00197A57" w:rsidRDefault="00A63848"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Phone Service, High</w:t>
            </w:r>
          </w:p>
          <w:p w14:paraId="5517D44D" w14:textId="77777777" w:rsidR="00A63848" w:rsidRPr="00197A57" w:rsidRDefault="00A63848"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Speed Data</w:t>
            </w:r>
          </w:p>
          <w:p w14:paraId="0E386724" w14:textId="77777777" w:rsidR="00A63848" w:rsidRPr="00197A57" w:rsidRDefault="00A63848"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Transmission</w:t>
            </w:r>
          </w:p>
        </w:tc>
        <w:tc>
          <w:tcPr>
            <w:tcW w:w="2338" w:type="dxa"/>
            <w:shd w:val="clear" w:color="auto" w:fill="auto"/>
          </w:tcPr>
          <w:p w14:paraId="24D98966" w14:textId="77777777" w:rsidR="00A63848" w:rsidRPr="00197A57" w:rsidRDefault="00A63848"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Salaries for Operating</w:t>
            </w:r>
          </w:p>
          <w:p w14:paraId="4878E62C" w14:textId="77777777" w:rsidR="00A63848" w:rsidRPr="00197A57" w:rsidRDefault="00A63848"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HMIS</w:t>
            </w:r>
          </w:p>
        </w:tc>
        <w:tc>
          <w:tcPr>
            <w:tcW w:w="2523" w:type="dxa"/>
            <w:vMerge w:val="restart"/>
            <w:shd w:val="clear" w:color="auto" w:fill="auto"/>
          </w:tcPr>
          <w:p w14:paraId="6122F0D6" w14:textId="77777777" w:rsidR="00A63848" w:rsidRPr="00197A57" w:rsidRDefault="00A63848"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Costs of Staff to Travel</w:t>
            </w:r>
          </w:p>
          <w:p w14:paraId="147E2D31" w14:textId="77777777" w:rsidR="00A63848" w:rsidRPr="00197A57" w:rsidRDefault="00A63848"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and Attend HUD</w:t>
            </w:r>
          </w:p>
          <w:p w14:paraId="47987669" w14:textId="77777777" w:rsidR="00A63848" w:rsidRPr="00197A57" w:rsidRDefault="00A63848"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Sponsored/ Approved</w:t>
            </w:r>
          </w:p>
          <w:p w14:paraId="3F036A2B" w14:textId="77777777" w:rsidR="00A63848" w:rsidRPr="00197A57" w:rsidRDefault="00A63848"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Training on HMIS</w:t>
            </w:r>
          </w:p>
        </w:tc>
      </w:tr>
      <w:tr w:rsidR="00A63848" w:rsidRPr="00197A57" w14:paraId="5192C60D" w14:textId="77777777" w:rsidTr="00F44868">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63277A0E"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Staff Travel Costs to</w:t>
            </w:r>
          </w:p>
          <w:p w14:paraId="7C8254F5"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Conduct Intake</w:t>
            </w:r>
          </w:p>
        </w:tc>
        <w:tc>
          <w:tcPr>
            <w:tcW w:w="2337" w:type="dxa"/>
            <w:vMerge/>
            <w:shd w:val="clear" w:color="auto" w:fill="auto"/>
          </w:tcPr>
          <w:p w14:paraId="2F02398F" w14:textId="77777777" w:rsidR="00A63848" w:rsidRPr="00197A57" w:rsidRDefault="00A63848"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rPr>
            </w:pPr>
          </w:p>
        </w:tc>
        <w:tc>
          <w:tcPr>
            <w:tcW w:w="2338" w:type="dxa"/>
            <w:shd w:val="clear" w:color="auto" w:fill="auto"/>
          </w:tcPr>
          <w:p w14:paraId="0366F4DA" w14:textId="77777777" w:rsidR="00A63848" w:rsidRPr="00197A57" w:rsidRDefault="00A63848"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Participation Fees</w:t>
            </w:r>
          </w:p>
          <w:p w14:paraId="1FCBF0C4" w14:textId="77777777" w:rsidR="00A63848" w:rsidRPr="00197A57" w:rsidRDefault="00A63848"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Charged by the Lead</w:t>
            </w:r>
          </w:p>
        </w:tc>
        <w:tc>
          <w:tcPr>
            <w:tcW w:w="2523" w:type="dxa"/>
            <w:vMerge/>
          </w:tcPr>
          <w:p w14:paraId="6DE05110" w14:textId="77777777" w:rsidR="00A63848" w:rsidRPr="00197A57" w:rsidRDefault="00A63848"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rPr>
            </w:pPr>
          </w:p>
        </w:tc>
      </w:tr>
    </w:tbl>
    <w:p w14:paraId="4E23BE9E" w14:textId="491C6A2E" w:rsidR="00197A57" w:rsidRDefault="00197A57" w:rsidP="00197A57">
      <w:pPr>
        <w:pStyle w:val="ListParagraph"/>
        <w:ind w:left="1440"/>
        <w:rPr>
          <w:rFonts w:ascii="Calibri" w:hAnsi="Calibri"/>
          <w:color w:val="000000" w:themeColor="text1"/>
        </w:rPr>
      </w:pPr>
    </w:p>
    <w:p w14:paraId="62223336" w14:textId="551389EA" w:rsidR="00580081" w:rsidRDefault="00580081" w:rsidP="00197A57">
      <w:pPr>
        <w:pStyle w:val="ListParagraph"/>
        <w:ind w:left="1440"/>
        <w:rPr>
          <w:rFonts w:ascii="Calibri" w:hAnsi="Calibri"/>
          <w:color w:val="000000" w:themeColor="text1"/>
        </w:rPr>
      </w:pPr>
    </w:p>
    <w:p w14:paraId="699EB40A" w14:textId="086DE244" w:rsidR="00580081" w:rsidRDefault="00580081" w:rsidP="00197A57">
      <w:pPr>
        <w:pStyle w:val="ListParagraph"/>
        <w:ind w:left="1440"/>
        <w:rPr>
          <w:rFonts w:ascii="Calibri" w:hAnsi="Calibri"/>
          <w:color w:val="000000" w:themeColor="text1"/>
        </w:rPr>
      </w:pPr>
    </w:p>
    <w:p w14:paraId="7A8DFD20" w14:textId="3434BE32" w:rsidR="00580081" w:rsidRDefault="00580081" w:rsidP="00197A57">
      <w:pPr>
        <w:pStyle w:val="ListParagraph"/>
        <w:ind w:left="1440"/>
        <w:rPr>
          <w:rFonts w:ascii="Calibri" w:hAnsi="Calibri"/>
          <w:color w:val="000000" w:themeColor="text1"/>
        </w:rPr>
      </w:pPr>
    </w:p>
    <w:p w14:paraId="66714A85" w14:textId="77777777" w:rsidR="00580081" w:rsidRPr="00197A57" w:rsidRDefault="00580081" w:rsidP="00197A57">
      <w:pPr>
        <w:pStyle w:val="ListParagraph"/>
        <w:ind w:left="1440"/>
        <w:rPr>
          <w:rFonts w:ascii="Calibri" w:hAnsi="Calibri"/>
          <w:color w:val="000000" w:themeColor="text1"/>
        </w:rPr>
      </w:pPr>
    </w:p>
    <w:p w14:paraId="78F9B9C6" w14:textId="4C548658" w:rsidR="00197A57" w:rsidRDefault="00197A57">
      <w:pPr>
        <w:pStyle w:val="ListParagraph"/>
        <w:numPr>
          <w:ilvl w:val="0"/>
          <w:numId w:val="134"/>
        </w:numPr>
        <w:rPr>
          <w:rFonts w:ascii="Calibri" w:hAnsi="Calibri"/>
          <w:color w:val="000000" w:themeColor="text1"/>
        </w:rPr>
      </w:pPr>
      <w:r w:rsidRPr="00197A57">
        <w:rPr>
          <w:rFonts w:ascii="Calibri" w:hAnsi="Calibri"/>
          <w:color w:val="000000" w:themeColor="text1"/>
          <w:u w:val="single"/>
        </w:rPr>
        <w:t>Project Administration</w:t>
      </w:r>
      <w:r w:rsidRPr="00197A57">
        <w:rPr>
          <w:rFonts w:ascii="Calibri" w:hAnsi="Calibri"/>
          <w:color w:val="000000" w:themeColor="text1"/>
        </w:rPr>
        <w:t xml:space="preserve"> 24 CFR § 578.59 (CoC)</w:t>
      </w:r>
    </w:p>
    <w:p w14:paraId="06C4C8A7" w14:textId="77777777" w:rsidR="00A63848" w:rsidRPr="00197A57" w:rsidRDefault="00A63848" w:rsidP="000604EE">
      <w:pPr>
        <w:autoSpaceDE w:val="0"/>
        <w:autoSpaceDN w:val="0"/>
        <w:adjustRightInd w:val="0"/>
        <w:contextualSpacing/>
        <w:rPr>
          <w:rFonts w:ascii="Calibri" w:hAnsi="Calibri" w:cs="Calibri"/>
          <w:color w:val="000000" w:themeColor="text1"/>
        </w:rPr>
      </w:pPr>
    </w:p>
    <w:tbl>
      <w:tblPr>
        <w:tblStyle w:val="GridTable4-Accent1"/>
        <w:tblW w:w="0" w:type="auto"/>
        <w:jc w:val="center"/>
        <w:tblLook w:val="04A0" w:firstRow="1" w:lastRow="0" w:firstColumn="1" w:lastColumn="0" w:noHBand="0" w:noVBand="1"/>
      </w:tblPr>
      <w:tblGrid>
        <w:gridCol w:w="3116"/>
        <w:gridCol w:w="1559"/>
        <w:gridCol w:w="1558"/>
        <w:gridCol w:w="3117"/>
      </w:tblGrid>
      <w:tr w:rsidR="00442BDB" w:rsidRPr="00197A57" w14:paraId="461EB7A2" w14:textId="77777777" w:rsidTr="00F448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gridSpan w:val="4"/>
          </w:tcPr>
          <w:p w14:paraId="1A804689"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CoC Administrative Costs</w:t>
            </w:r>
          </w:p>
        </w:tc>
      </w:tr>
      <w:tr w:rsidR="00442BDB" w:rsidRPr="00197A57" w14:paraId="3CAB5D59" w14:textId="77777777" w:rsidTr="00F448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gridSpan w:val="4"/>
          </w:tcPr>
          <w:p w14:paraId="23778EBB"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General Management &amp; Oversight</w:t>
            </w:r>
          </w:p>
        </w:tc>
      </w:tr>
      <w:tr w:rsidR="00442BDB" w:rsidRPr="00197A57" w14:paraId="12F031D0" w14:textId="77777777" w:rsidTr="00F44868">
        <w:trPr>
          <w:jc w:val="center"/>
        </w:trPr>
        <w:tc>
          <w:tcPr>
            <w:cnfStyle w:val="001000000000" w:firstRow="0" w:lastRow="0" w:firstColumn="1" w:lastColumn="0" w:oddVBand="0" w:evenVBand="0" w:oddHBand="0" w:evenHBand="0" w:firstRowFirstColumn="0" w:firstRowLastColumn="0" w:lastRowFirstColumn="0" w:lastRowLastColumn="0"/>
            <w:tcW w:w="3116" w:type="dxa"/>
          </w:tcPr>
          <w:p w14:paraId="1528E8C4"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Preparing Budgets &amp; Schedules</w:t>
            </w:r>
          </w:p>
        </w:tc>
        <w:tc>
          <w:tcPr>
            <w:tcW w:w="3117" w:type="dxa"/>
            <w:gridSpan w:val="2"/>
          </w:tcPr>
          <w:p w14:paraId="5D765AFA" w14:textId="77777777" w:rsidR="00A63848" w:rsidRPr="00197A57" w:rsidRDefault="00A63848"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Assure Compliance</w:t>
            </w:r>
          </w:p>
        </w:tc>
        <w:tc>
          <w:tcPr>
            <w:tcW w:w="3117" w:type="dxa"/>
          </w:tcPr>
          <w:p w14:paraId="208D165E" w14:textId="77777777" w:rsidR="00A63848" w:rsidRPr="00197A57" w:rsidRDefault="00A63848"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Development of Agreements to</w:t>
            </w:r>
          </w:p>
          <w:p w14:paraId="5F9FDD0D" w14:textId="77777777" w:rsidR="00A63848" w:rsidRPr="00197A57" w:rsidRDefault="00A63848"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Carry Out Program Activities</w:t>
            </w:r>
          </w:p>
        </w:tc>
      </w:tr>
      <w:tr w:rsidR="00442BDB" w:rsidRPr="00197A57" w14:paraId="0BEE330C" w14:textId="77777777" w:rsidTr="00F448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23B3B63B"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Monitoring for Progress &amp;</w:t>
            </w:r>
          </w:p>
          <w:p w14:paraId="4062BBB7"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Compliance</w:t>
            </w:r>
          </w:p>
        </w:tc>
        <w:tc>
          <w:tcPr>
            <w:tcW w:w="3117" w:type="dxa"/>
            <w:gridSpan w:val="2"/>
            <w:shd w:val="clear" w:color="auto" w:fill="auto"/>
          </w:tcPr>
          <w:p w14:paraId="26C843DC" w14:textId="77777777" w:rsidR="00A63848" w:rsidRPr="00197A57" w:rsidRDefault="00A63848"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Preparing HUD Reports</w:t>
            </w:r>
          </w:p>
        </w:tc>
        <w:tc>
          <w:tcPr>
            <w:tcW w:w="3117" w:type="dxa"/>
            <w:shd w:val="clear" w:color="auto" w:fill="auto"/>
          </w:tcPr>
          <w:p w14:paraId="6BE0035F" w14:textId="77777777" w:rsidR="00A63848" w:rsidRPr="00197A57" w:rsidRDefault="00A63848"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Coordinating Resolution of Findings</w:t>
            </w:r>
          </w:p>
        </w:tc>
      </w:tr>
      <w:tr w:rsidR="00442BDB" w:rsidRPr="00197A57" w14:paraId="7552CB6B" w14:textId="77777777" w:rsidTr="00F44868">
        <w:trPr>
          <w:jc w:val="center"/>
        </w:trPr>
        <w:tc>
          <w:tcPr>
            <w:cnfStyle w:val="001000000000" w:firstRow="0" w:lastRow="0" w:firstColumn="1" w:lastColumn="0" w:oddVBand="0" w:evenVBand="0" w:oddHBand="0" w:evenHBand="0" w:firstRowFirstColumn="0" w:firstRowLastColumn="0" w:lastRowFirstColumn="0" w:lastRowLastColumn="0"/>
            <w:tcW w:w="4675" w:type="dxa"/>
            <w:gridSpan w:val="2"/>
            <w:shd w:val="clear" w:color="auto" w:fill="auto"/>
          </w:tcPr>
          <w:p w14:paraId="4C291D9D"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Evaluating Results &amp; Objectives</w:t>
            </w:r>
          </w:p>
        </w:tc>
        <w:tc>
          <w:tcPr>
            <w:tcW w:w="4675" w:type="dxa"/>
            <w:gridSpan w:val="2"/>
            <w:shd w:val="clear" w:color="auto" w:fill="auto"/>
          </w:tcPr>
          <w:p w14:paraId="6061EA19" w14:textId="77777777" w:rsidR="00A63848" w:rsidRPr="00197A57" w:rsidRDefault="00A63848"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Managing/Supervising Staff Who Engage in</w:t>
            </w:r>
          </w:p>
          <w:p w14:paraId="275EA7A9" w14:textId="77777777" w:rsidR="00A63848" w:rsidRPr="00197A57" w:rsidRDefault="00A63848" w:rsidP="000604EE">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General Management &amp; Oversight</w:t>
            </w:r>
          </w:p>
        </w:tc>
      </w:tr>
      <w:tr w:rsidR="00442BDB" w:rsidRPr="00197A57" w14:paraId="2F37A1F9" w14:textId="77777777" w:rsidTr="00F448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gridSpan w:val="2"/>
          </w:tcPr>
          <w:p w14:paraId="0452BD96" w14:textId="77777777" w:rsidR="00A63848" w:rsidRPr="00197A57" w:rsidRDefault="00A63848" w:rsidP="000604EE">
            <w:pPr>
              <w:autoSpaceDE w:val="0"/>
              <w:autoSpaceDN w:val="0"/>
              <w:adjustRightInd w:val="0"/>
              <w:contextualSpacing/>
              <w:rPr>
                <w:rFonts w:ascii="Calibri" w:hAnsi="Calibri" w:cs="Calibri"/>
                <w:b w:val="0"/>
                <w:bCs w:val="0"/>
                <w:color w:val="000000" w:themeColor="text1"/>
              </w:rPr>
            </w:pPr>
            <w:r w:rsidRPr="00197A57">
              <w:rPr>
                <w:rFonts w:ascii="Calibri" w:hAnsi="Calibri" w:cs="Calibri"/>
                <w:b w:val="0"/>
                <w:bCs w:val="0"/>
                <w:color w:val="000000" w:themeColor="text1"/>
              </w:rPr>
              <w:t>Training on CoC Requirements</w:t>
            </w:r>
          </w:p>
        </w:tc>
        <w:tc>
          <w:tcPr>
            <w:tcW w:w="4675" w:type="dxa"/>
            <w:gridSpan w:val="2"/>
          </w:tcPr>
          <w:p w14:paraId="753FE4C0" w14:textId="77777777" w:rsidR="00A63848" w:rsidRPr="00197A57" w:rsidRDefault="00A63848" w:rsidP="000604EE">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197A57">
              <w:rPr>
                <w:rFonts w:ascii="Calibri" w:hAnsi="Calibri" w:cs="Calibri"/>
                <w:color w:val="000000" w:themeColor="text1"/>
              </w:rPr>
              <w:t>Environmental Reviews</w:t>
            </w:r>
          </w:p>
        </w:tc>
      </w:tr>
    </w:tbl>
    <w:p w14:paraId="7A7BF95A" w14:textId="77777777" w:rsidR="00197A57" w:rsidRPr="00197A57" w:rsidRDefault="00197A57" w:rsidP="00197A57">
      <w:pPr>
        <w:pStyle w:val="ListParagraph"/>
        <w:ind w:left="1440"/>
        <w:rPr>
          <w:rFonts w:ascii="Calibri" w:hAnsi="Calibri"/>
          <w:color w:val="000000" w:themeColor="text1"/>
        </w:rPr>
      </w:pPr>
    </w:p>
    <w:p w14:paraId="6F35A190" w14:textId="5D53FF74" w:rsidR="00197A57" w:rsidRPr="00197A57" w:rsidRDefault="00197A57">
      <w:pPr>
        <w:pStyle w:val="ListParagraph"/>
        <w:numPr>
          <w:ilvl w:val="0"/>
          <w:numId w:val="134"/>
        </w:numPr>
        <w:rPr>
          <w:rFonts w:ascii="Calibri" w:hAnsi="Calibri"/>
          <w:color w:val="000000" w:themeColor="text1"/>
        </w:rPr>
      </w:pPr>
      <w:r w:rsidRPr="00197A57">
        <w:rPr>
          <w:rFonts w:ascii="Calibri" w:hAnsi="Calibri"/>
          <w:color w:val="000000" w:themeColor="text1"/>
          <w:u w:val="single"/>
        </w:rPr>
        <w:t>Indirect Costs</w:t>
      </w:r>
      <w:r w:rsidRPr="00197A57">
        <w:rPr>
          <w:rFonts w:ascii="Calibri" w:hAnsi="Calibri"/>
          <w:color w:val="000000" w:themeColor="text1"/>
        </w:rPr>
        <w:t xml:space="preserve"> 24 CFR §578.63</w:t>
      </w:r>
    </w:p>
    <w:p w14:paraId="10712802" w14:textId="7EE975AA" w:rsidR="00197A57" w:rsidRPr="00197A57" w:rsidRDefault="00197A57">
      <w:pPr>
        <w:pStyle w:val="ListParagraph"/>
        <w:numPr>
          <w:ilvl w:val="1"/>
          <w:numId w:val="140"/>
        </w:numPr>
        <w:rPr>
          <w:rFonts w:ascii="Calibri" w:hAnsi="Calibri"/>
          <w:color w:val="000000" w:themeColor="text1"/>
        </w:rPr>
      </w:pPr>
      <w:r w:rsidRPr="00197A57">
        <w:rPr>
          <w:rFonts w:ascii="Calibri" w:hAnsi="Calibri"/>
          <w:color w:val="000000" w:themeColor="text1"/>
        </w:rPr>
        <w:t>Indirect costs are eligible under the CoC Program and must be in accordance with OMB Uniform Guidance.</w:t>
      </w:r>
    </w:p>
    <w:p w14:paraId="044D89A1" w14:textId="77777777" w:rsidR="00A63848" w:rsidRPr="00493B95" w:rsidRDefault="00A63848" w:rsidP="000604EE">
      <w:pPr>
        <w:autoSpaceDE w:val="0"/>
        <w:autoSpaceDN w:val="0"/>
        <w:adjustRightInd w:val="0"/>
        <w:contextualSpacing/>
        <w:rPr>
          <w:rFonts w:ascii="Calibri" w:hAnsi="Calibri" w:cs="Calibri"/>
          <w:color w:val="000000" w:themeColor="text1"/>
          <w:highlight w:val="cyan"/>
        </w:rPr>
      </w:pPr>
    </w:p>
    <w:p w14:paraId="03E6F7FA" w14:textId="77777777" w:rsidR="00197A57" w:rsidRDefault="00197A57">
      <w:pPr>
        <w:spacing w:after="200" w:line="276" w:lineRule="auto"/>
        <w:rPr>
          <w:smallCaps/>
          <w:color w:val="F19416"/>
          <w:spacing w:val="5"/>
          <w:sz w:val="32"/>
          <w:szCs w:val="32"/>
          <w:highlight w:val="yellow"/>
        </w:rPr>
      </w:pPr>
      <w:r>
        <w:rPr>
          <w:highlight w:val="yellow"/>
        </w:rPr>
        <w:br w:type="page"/>
      </w:r>
    </w:p>
    <w:p w14:paraId="4ED3E030" w14:textId="5FE67662" w:rsidR="00481FAF" w:rsidRPr="0061434B" w:rsidRDefault="00481FAF" w:rsidP="00BE4733">
      <w:pPr>
        <w:pStyle w:val="Heading2"/>
        <w:numPr>
          <w:ilvl w:val="3"/>
          <w:numId w:val="105"/>
        </w:numPr>
        <w:ind w:left="360"/>
        <w:rPr>
          <w:color w:val="0070C0"/>
        </w:rPr>
      </w:pPr>
      <w:bookmarkStart w:id="197" w:name="_Toc124255104"/>
      <w:r w:rsidRPr="0061434B">
        <w:rPr>
          <w:color w:val="0070C0"/>
        </w:rPr>
        <w:lastRenderedPageBreak/>
        <w:t>HUD Definitions of Homelessness</w:t>
      </w:r>
      <w:bookmarkEnd w:id="197"/>
    </w:p>
    <w:tbl>
      <w:tblPr>
        <w:tblStyle w:val="GridTable2-Accent1"/>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710"/>
        <w:gridCol w:w="9722"/>
      </w:tblGrid>
      <w:tr w:rsidR="00CB2A9B" w:rsidRPr="00BE4733" w14:paraId="16994AC9" w14:textId="77777777" w:rsidTr="00F448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Borders>
              <w:top w:val="none" w:sz="0" w:space="0" w:color="auto"/>
              <w:bottom w:val="none" w:sz="0" w:space="0" w:color="auto"/>
              <w:right w:val="none" w:sz="0" w:space="0" w:color="auto"/>
            </w:tcBorders>
          </w:tcPr>
          <w:p w14:paraId="1D19494D" w14:textId="77777777" w:rsidR="00CB2A9B" w:rsidRPr="00BE4733" w:rsidRDefault="00CB2A9B" w:rsidP="000604EE">
            <w:pPr>
              <w:tabs>
                <w:tab w:val="left" w:pos="269"/>
              </w:tabs>
              <w:ind w:right="158"/>
              <w:contextualSpacing/>
              <w:rPr>
                <w:rFonts w:ascii="Calibri" w:hAnsi="Calibri" w:cs="Calibri"/>
                <w:color w:val="000000" w:themeColor="text1"/>
                <w:sz w:val="21"/>
                <w:szCs w:val="21"/>
              </w:rPr>
            </w:pPr>
            <w:r w:rsidRPr="00BE4733">
              <w:rPr>
                <w:rFonts w:ascii="Calibri" w:hAnsi="Calibri" w:cs="Calibri"/>
                <w:color w:val="000000" w:themeColor="text1"/>
                <w:sz w:val="21"/>
                <w:szCs w:val="21"/>
              </w:rPr>
              <w:t>Category 1</w:t>
            </w:r>
          </w:p>
        </w:tc>
        <w:tc>
          <w:tcPr>
            <w:tcW w:w="1710" w:type="dxa"/>
            <w:tcBorders>
              <w:top w:val="none" w:sz="0" w:space="0" w:color="auto"/>
              <w:left w:val="none" w:sz="0" w:space="0" w:color="auto"/>
              <w:bottom w:val="none" w:sz="0" w:space="0" w:color="auto"/>
              <w:right w:val="none" w:sz="0" w:space="0" w:color="auto"/>
            </w:tcBorders>
          </w:tcPr>
          <w:p w14:paraId="6E1DE07E" w14:textId="77777777" w:rsidR="00CB2A9B" w:rsidRPr="00BE4733" w:rsidRDefault="00CB2A9B" w:rsidP="000604EE">
            <w:pPr>
              <w:tabs>
                <w:tab w:val="left" w:pos="269"/>
              </w:tabs>
              <w:ind w:right="-20"/>
              <w:contextualSpacing/>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1"/>
                <w:szCs w:val="21"/>
              </w:rPr>
            </w:pPr>
            <w:r w:rsidRPr="00BE4733">
              <w:rPr>
                <w:rFonts w:ascii="Calibri" w:hAnsi="Calibri" w:cs="Calibri"/>
                <w:b w:val="0"/>
                <w:bCs w:val="0"/>
                <w:color w:val="000000" w:themeColor="text1"/>
                <w:sz w:val="21"/>
                <w:szCs w:val="21"/>
              </w:rPr>
              <w:t>Literally Homeless</w:t>
            </w:r>
          </w:p>
        </w:tc>
        <w:tc>
          <w:tcPr>
            <w:tcW w:w="9722" w:type="dxa"/>
            <w:tcBorders>
              <w:top w:val="none" w:sz="0" w:space="0" w:color="auto"/>
              <w:left w:val="none" w:sz="0" w:space="0" w:color="auto"/>
              <w:bottom w:val="none" w:sz="0" w:space="0" w:color="auto"/>
            </w:tcBorders>
          </w:tcPr>
          <w:p w14:paraId="0B3A3398" w14:textId="77777777" w:rsidR="00CB2A9B" w:rsidRPr="00BE4733" w:rsidRDefault="00CB2A9B" w:rsidP="000604EE">
            <w:pPr>
              <w:tabs>
                <w:tab w:val="left" w:pos="269"/>
              </w:tabs>
              <w:ind w:right="580"/>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sz w:val="21"/>
                <w:szCs w:val="21"/>
              </w:rPr>
            </w:pPr>
            <w:r w:rsidRPr="00BE4733">
              <w:rPr>
                <w:rFonts w:ascii="Calibri" w:eastAsia="Calibri" w:hAnsi="Calibri" w:cs="Calibri"/>
                <w:b w:val="0"/>
                <w:bCs w:val="0"/>
                <w:color w:val="000000" w:themeColor="text1"/>
                <w:sz w:val="21"/>
                <w:szCs w:val="21"/>
              </w:rPr>
              <w:t>Individual or family who lacks a fixed, regular, and adequate nighttime residence, meaning:</w:t>
            </w:r>
          </w:p>
          <w:p w14:paraId="52D9FE66" w14:textId="77777777" w:rsidR="00CB2A9B" w:rsidRPr="00BE4733" w:rsidRDefault="00CB2A9B">
            <w:pPr>
              <w:numPr>
                <w:ilvl w:val="1"/>
                <w:numId w:val="32"/>
              </w:numPr>
              <w:tabs>
                <w:tab w:val="left" w:pos="722"/>
              </w:tabs>
              <w:ind w:left="722" w:right="760" w:hanging="362"/>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sz w:val="21"/>
                <w:szCs w:val="21"/>
              </w:rPr>
            </w:pPr>
            <w:r w:rsidRPr="00BE4733">
              <w:rPr>
                <w:rFonts w:ascii="Calibri" w:eastAsia="Calibri" w:hAnsi="Calibri" w:cs="Calibri"/>
                <w:b w:val="0"/>
                <w:bCs w:val="0"/>
                <w:color w:val="000000" w:themeColor="text1"/>
                <w:sz w:val="21"/>
                <w:szCs w:val="21"/>
              </w:rPr>
              <w:t>Has a primary nighttime residence that is a public or private place not meant for human habitation;</w:t>
            </w:r>
          </w:p>
          <w:p w14:paraId="10016108" w14:textId="5FA96F26" w:rsidR="00CB2A9B" w:rsidRPr="00BE4733" w:rsidRDefault="00CB2A9B">
            <w:pPr>
              <w:numPr>
                <w:ilvl w:val="1"/>
                <w:numId w:val="32"/>
              </w:numPr>
              <w:tabs>
                <w:tab w:val="left" w:pos="722"/>
              </w:tabs>
              <w:ind w:left="722" w:right="360" w:hanging="362"/>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sz w:val="21"/>
                <w:szCs w:val="21"/>
              </w:rPr>
            </w:pPr>
            <w:r w:rsidRPr="00BE4733">
              <w:rPr>
                <w:rFonts w:ascii="Calibri" w:eastAsia="Calibri" w:hAnsi="Calibri" w:cs="Calibri"/>
                <w:b w:val="0"/>
                <w:bCs w:val="0"/>
                <w:color w:val="000000" w:themeColor="text1"/>
                <w:sz w:val="21"/>
                <w:szCs w:val="21"/>
              </w:rPr>
              <w:t xml:space="preserve">Is living in a publicly or </w:t>
            </w:r>
            <w:r w:rsidR="00C777B8" w:rsidRPr="00BE4733">
              <w:rPr>
                <w:rFonts w:ascii="Calibri" w:eastAsia="Calibri" w:hAnsi="Calibri" w:cs="Calibri"/>
                <w:b w:val="0"/>
                <w:bCs w:val="0"/>
                <w:color w:val="000000" w:themeColor="text1"/>
                <w:sz w:val="21"/>
                <w:szCs w:val="21"/>
              </w:rPr>
              <w:t>privately-operated</w:t>
            </w:r>
            <w:r w:rsidRPr="00BE4733">
              <w:rPr>
                <w:rFonts w:ascii="Calibri" w:eastAsia="Calibri" w:hAnsi="Calibri" w:cs="Calibri"/>
                <w:b w:val="0"/>
                <w:bCs w:val="0"/>
                <w:color w:val="000000" w:themeColor="text1"/>
                <w:sz w:val="21"/>
                <w:szCs w:val="21"/>
              </w:rPr>
              <w:t xml:space="preserve"> shelter designated to provide temporary living arrangements (including congregate shelters, transitional housing, and hotels and motels paid for by charitable organizations or by federal, </w:t>
            </w:r>
            <w:r w:rsidR="00C777B8" w:rsidRPr="00BE4733">
              <w:rPr>
                <w:rFonts w:ascii="Calibri" w:eastAsia="Calibri" w:hAnsi="Calibri" w:cs="Calibri"/>
                <w:b w:val="0"/>
                <w:bCs w:val="0"/>
                <w:color w:val="000000" w:themeColor="text1"/>
                <w:sz w:val="21"/>
                <w:szCs w:val="21"/>
              </w:rPr>
              <w:t>state,</w:t>
            </w:r>
            <w:r w:rsidRPr="00BE4733">
              <w:rPr>
                <w:rFonts w:ascii="Calibri" w:eastAsia="Calibri" w:hAnsi="Calibri" w:cs="Calibri"/>
                <w:b w:val="0"/>
                <w:bCs w:val="0"/>
                <w:color w:val="000000" w:themeColor="text1"/>
                <w:sz w:val="21"/>
                <w:szCs w:val="21"/>
              </w:rPr>
              <w:t xml:space="preserve"> and local government programs); </w:t>
            </w:r>
            <w:r w:rsidRPr="00BE4733">
              <w:rPr>
                <w:rFonts w:ascii="Calibri" w:eastAsia="Calibri" w:hAnsi="Calibri" w:cs="Calibri"/>
                <w:b w:val="0"/>
                <w:bCs w:val="0"/>
                <w:color w:val="000000" w:themeColor="text1"/>
                <w:sz w:val="21"/>
                <w:szCs w:val="21"/>
                <w:u w:val="single"/>
              </w:rPr>
              <w:t>or</w:t>
            </w:r>
          </w:p>
          <w:p w14:paraId="1FF41872" w14:textId="77777777" w:rsidR="00CB2A9B" w:rsidRPr="00BE4733" w:rsidRDefault="00CB2A9B">
            <w:pPr>
              <w:numPr>
                <w:ilvl w:val="1"/>
                <w:numId w:val="32"/>
              </w:numPr>
              <w:tabs>
                <w:tab w:val="left" w:pos="722"/>
              </w:tabs>
              <w:ind w:left="722" w:right="220" w:hanging="362"/>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sz w:val="21"/>
                <w:szCs w:val="21"/>
              </w:rPr>
            </w:pPr>
            <w:r w:rsidRPr="00BE4733">
              <w:rPr>
                <w:rFonts w:ascii="Calibri" w:eastAsia="Calibri" w:hAnsi="Calibri" w:cs="Calibri"/>
                <w:b w:val="0"/>
                <w:bCs w:val="0"/>
                <w:color w:val="000000" w:themeColor="text1"/>
                <w:sz w:val="21"/>
                <w:szCs w:val="21"/>
              </w:rPr>
              <w:t xml:space="preserve">Is exiting an institution where (s)he has resided for 90 days or less </w:t>
            </w:r>
            <w:r w:rsidRPr="00BE4733">
              <w:rPr>
                <w:rFonts w:ascii="Calibri" w:eastAsia="Calibri" w:hAnsi="Calibri" w:cs="Calibri"/>
                <w:b w:val="0"/>
                <w:bCs w:val="0"/>
                <w:color w:val="000000" w:themeColor="text1"/>
                <w:sz w:val="21"/>
                <w:szCs w:val="21"/>
                <w:u w:val="single"/>
              </w:rPr>
              <w:t>and</w:t>
            </w:r>
            <w:r w:rsidRPr="00BE4733">
              <w:rPr>
                <w:rFonts w:ascii="Calibri" w:eastAsia="Calibri" w:hAnsi="Calibri" w:cs="Calibri"/>
                <w:b w:val="0"/>
                <w:bCs w:val="0"/>
                <w:color w:val="000000" w:themeColor="text1"/>
                <w:sz w:val="21"/>
                <w:szCs w:val="21"/>
              </w:rPr>
              <w:t xml:space="preserve"> who resided in an emergency shelter or place not meant for human habitation immediately before entering that institution</w:t>
            </w:r>
          </w:p>
          <w:p w14:paraId="725A8B27" w14:textId="77777777" w:rsidR="00CB2A9B" w:rsidRPr="00BE4733" w:rsidRDefault="00CB2A9B" w:rsidP="000604EE">
            <w:pPr>
              <w:tabs>
                <w:tab w:val="left" w:pos="269"/>
              </w:tabs>
              <w:ind w:right="580"/>
              <w:contextualSpacing/>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1"/>
                <w:szCs w:val="21"/>
              </w:rPr>
            </w:pPr>
          </w:p>
        </w:tc>
      </w:tr>
      <w:tr w:rsidR="00CB2A9B" w:rsidRPr="00BE4733" w14:paraId="3BF3956E" w14:textId="77777777" w:rsidTr="00F44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11D6BEFD" w14:textId="77777777" w:rsidR="00CB2A9B" w:rsidRPr="00BE4733" w:rsidRDefault="00CB2A9B" w:rsidP="000604EE">
            <w:pPr>
              <w:tabs>
                <w:tab w:val="left" w:pos="269"/>
              </w:tabs>
              <w:ind w:right="158"/>
              <w:contextualSpacing/>
              <w:rPr>
                <w:rFonts w:ascii="Calibri" w:hAnsi="Calibri" w:cs="Calibri"/>
                <w:color w:val="000000" w:themeColor="text1"/>
                <w:sz w:val="21"/>
                <w:szCs w:val="21"/>
              </w:rPr>
            </w:pPr>
            <w:r w:rsidRPr="00BE4733">
              <w:rPr>
                <w:rFonts w:ascii="Calibri" w:hAnsi="Calibri" w:cs="Calibri"/>
                <w:color w:val="000000" w:themeColor="text1"/>
                <w:sz w:val="21"/>
                <w:szCs w:val="21"/>
              </w:rPr>
              <w:t>Category 2</w:t>
            </w:r>
          </w:p>
        </w:tc>
        <w:tc>
          <w:tcPr>
            <w:tcW w:w="1710" w:type="dxa"/>
          </w:tcPr>
          <w:p w14:paraId="7669ABB3" w14:textId="77777777" w:rsidR="00CB2A9B" w:rsidRPr="00BE4733" w:rsidRDefault="00CB2A9B" w:rsidP="000604EE">
            <w:pPr>
              <w:tabs>
                <w:tab w:val="left" w:pos="269"/>
              </w:tabs>
              <w:ind w:right="-2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rPr>
            </w:pPr>
            <w:r w:rsidRPr="00BE4733">
              <w:rPr>
                <w:rFonts w:ascii="Calibri" w:hAnsi="Calibri" w:cs="Calibri"/>
                <w:color w:val="000000" w:themeColor="text1"/>
                <w:sz w:val="21"/>
                <w:szCs w:val="21"/>
              </w:rPr>
              <w:t>Imminent Risk of Homelessness</w:t>
            </w:r>
          </w:p>
        </w:tc>
        <w:tc>
          <w:tcPr>
            <w:tcW w:w="9722" w:type="dxa"/>
          </w:tcPr>
          <w:p w14:paraId="4EECF048" w14:textId="77777777" w:rsidR="00CB2A9B" w:rsidRPr="00BE4733" w:rsidRDefault="00CB2A9B" w:rsidP="000604EE">
            <w:p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1"/>
                <w:szCs w:val="21"/>
              </w:rPr>
            </w:pPr>
            <w:r w:rsidRPr="00BE4733">
              <w:rPr>
                <w:rFonts w:ascii="Calibri" w:eastAsia="Calibri" w:hAnsi="Calibri" w:cs="Calibri"/>
                <w:color w:val="000000" w:themeColor="text1"/>
                <w:sz w:val="21"/>
                <w:szCs w:val="21"/>
              </w:rPr>
              <w:t>Individual or family who will imminently lose their primary nighttime residence, provided that:</w:t>
            </w:r>
          </w:p>
          <w:p w14:paraId="72CAD68A" w14:textId="77777777" w:rsidR="00CB2A9B" w:rsidRPr="00BE4733" w:rsidRDefault="00CB2A9B">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1"/>
                <w:szCs w:val="21"/>
              </w:rPr>
            </w:pPr>
            <w:r w:rsidRPr="00BE4733">
              <w:rPr>
                <w:rFonts w:ascii="Calibri" w:eastAsia="Calibri" w:hAnsi="Calibri" w:cs="Calibri"/>
                <w:color w:val="000000" w:themeColor="text1"/>
                <w:sz w:val="21"/>
                <w:szCs w:val="21"/>
              </w:rPr>
              <w:t>Residence will be lost within 14 days of the date of application for homeless assistance;</w:t>
            </w:r>
          </w:p>
          <w:p w14:paraId="6A956AE9" w14:textId="3AE0A778" w:rsidR="00CB2A9B" w:rsidRPr="00BE4733" w:rsidRDefault="00CB2A9B">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1"/>
                <w:szCs w:val="21"/>
              </w:rPr>
            </w:pPr>
            <w:r w:rsidRPr="00BE4733">
              <w:rPr>
                <w:rFonts w:ascii="Calibri" w:eastAsia="Calibri" w:hAnsi="Calibri" w:cs="Calibri"/>
                <w:color w:val="000000" w:themeColor="text1"/>
                <w:sz w:val="21"/>
                <w:szCs w:val="21"/>
              </w:rPr>
              <w:t>No subsequent residence has been identified; and</w:t>
            </w:r>
            <w:r w:rsidRPr="00BE4733">
              <w:rPr>
                <w:rFonts w:ascii="Calibri" w:eastAsia="Calibri" w:hAnsi="Calibri" w:cs="Calibri"/>
                <w:color w:val="000000" w:themeColor="text1"/>
                <w:sz w:val="21"/>
                <w:szCs w:val="21"/>
              </w:rPr>
              <w:tab/>
            </w:r>
          </w:p>
          <w:p w14:paraId="01335360" w14:textId="77777777" w:rsidR="00CB2A9B" w:rsidRPr="00BE4733" w:rsidRDefault="00CB2A9B">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1"/>
                <w:szCs w:val="21"/>
              </w:rPr>
            </w:pPr>
            <w:r w:rsidRPr="00BE4733">
              <w:rPr>
                <w:rFonts w:ascii="Calibri" w:eastAsia="Calibri" w:hAnsi="Calibri" w:cs="Calibri"/>
                <w:color w:val="000000" w:themeColor="text1"/>
                <w:sz w:val="21"/>
                <w:szCs w:val="21"/>
              </w:rPr>
              <w:t>The individual or family lacks the resources or support networks needed to obtain other permanent housing</w:t>
            </w:r>
          </w:p>
          <w:p w14:paraId="29123E7A" w14:textId="77777777" w:rsidR="00CB2A9B" w:rsidRPr="00BE4733" w:rsidRDefault="00CB2A9B" w:rsidP="000604EE">
            <w:pPr>
              <w:tabs>
                <w:tab w:val="left" w:pos="269"/>
              </w:tabs>
              <w:ind w:right="58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rPr>
            </w:pPr>
          </w:p>
        </w:tc>
      </w:tr>
      <w:tr w:rsidR="00442BDB" w:rsidRPr="00BE4733" w14:paraId="5F0E845F" w14:textId="77777777" w:rsidTr="00F44868">
        <w:tc>
          <w:tcPr>
            <w:cnfStyle w:val="001000000000" w:firstRow="0" w:lastRow="0" w:firstColumn="1" w:lastColumn="0" w:oddVBand="0" w:evenVBand="0" w:oddHBand="0" w:evenHBand="0" w:firstRowFirstColumn="0" w:firstRowLastColumn="0" w:lastRowFirstColumn="0" w:lastRowLastColumn="0"/>
            <w:tcW w:w="1613" w:type="dxa"/>
          </w:tcPr>
          <w:p w14:paraId="0AB86A67" w14:textId="77777777" w:rsidR="00CB2A9B" w:rsidRPr="00BE4733" w:rsidRDefault="00CB2A9B" w:rsidP="000604EE">
            <w:pPr>
              <w:tabs>
                <w:tab w:val="left" w:pos="269"/>
              </w:tabs>
              <w:ind w:right="158"/>
              <w:contextualSpacing/>
              <w:rPr>
                <w:rFonts w:ascii="Calibri" w:hAnsi="Calibri" w:cs="Calibri"/>
                <w:color w:val="000000" w:themeColor="text1"/>
                <w:sz w:val="21"/>
                <w:szCs w:val="21"/>
              </w:rPr>
            </w:pPr>
            <w:r w:rsidRPr="00BE4733">
              <w:rPr>
                <w:rFonts w:ascii="Calibri" w:hAnsi="Calibri" w:cs="Calibri"/>
                <w:color w:val="000000" w:themeColor="text1"/>
                <w:sz w:val="21"/>
                <w:szCs w:val="21"/>
              </w:rPr>
              <w:t>Category 3</w:t>
            </w:r>
          </w:p>
        </w:tc>
        <w:tc>
          <w:tcPr>
            <w:tcW w:w="1710" w:type="dxa"/>
          </w:tcPr>
          <w:p w14:paraId="5FD6AD82" w14:textId="77777777" w:rsidR="00CB2A9B" w:rsidRPr="00BE4733" w:rsidRDefault="00CB2A9B" w:rsidP="000604EE">
            <w:pPr>
              <w:tabs>
                <w:tab w:val="left" w:pos="269"/>
              </w:tabs>
              <w:ind w:right="-2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1"/>
                <w:szCs w:val="21"/>
              </w:rPr>
            </w:pPr>
            <w:r w:rsidRPr="00BE4733">
              <w:rPr>
                <w:rFonts w:ascii="Calibri" w:hAnsi="Calibri" w:cs="Calibri"/>
                <w:color w:val="000000" w:themeColor="text1"/>
                <w:sz w:val="21"/>
                <w:szCs w:val="21"/>
              </w:rPr>
              <w:t>Homeless Under Other Federal Statutes</w:t>
            </w:r>
          </w:p>
        </w:tc>
        <w:tc>
          <w:tcPr>
            <w:tcW w:w="9722" w:type="dxa"/>
          </w:tcPr>
          <w:p w14:paraId="49CB47FE" w14:textId="77777777" w:rsidR="00CB2A9B" w:rsidRPr="00BE4733" w:rsidRDefault="00CB2A9B" w:rsidP="000604E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1"/>
                <w:szCs w:val="21"/>
              </w:rPr>
            </w:pPr>
            <w:r w:rsidRPr="00BE4733">
              <w:rPr>
                <w:rFonts w:ascii="Calibri" w:eastAsia="Calibri" w:hAnsi="Calibri" w:cs="Calibri"/>
                <w:color w:val="000000" w:themeColor="text1"/>
                <w:sz w:val="21"/>
                <w:szCs w:val="21"/>
              </w:rPr>
              <w:t>Unaccompanied youth under 25 years of age, or families with children and youth, who do not otherwise qualify as homeless under this definition, but who:</w:t>
            </w:r>
          </w:p>
          <w:p w14:paraId="1695A71B" w14:textId="77777777" w:rsidR="00CB2A9B" w:rsidRPr="00BE4733" w:rsidRDefault="00CB2A9B">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1"/>
                <w:szCs w:val="21"/>
              </w:rPr>
            </w:pPr>
            <w:r w:rsidRPr="00BE4733">
              <w:rPr>
                <w:rFonts w:ascii="Calibri" w:eastAsia="Calibri" w:hAnsi="Calibri" w:cs="Calibri"/>
                <w:color w:val="000000" w:themeColor="text1"/>
                <w:sz w:val="21"/>
                <w:szCs w:val="21"/>
              </w:rPr>
              <w:t>Are defined as homeless under the other listed federal statutes;</w:t>
            </w:r>
            <w:r w:rsidRPr="00BE4733">
              <w:rPr>
                <w:rFonts w:ascii="Calibri" w:eastAsia="Calibri" w:hAnsi="Calibri" w:cs="Calibri"/>
                <w:color w:val="000000" w:themeColor="text1"/>
                <w:sz w:val="21"/>
                <w:szCs w:val="21"/>
              </w:rPr>
              <w:tab/>
            </w:r>
          </w:p>
          <w:p w14:paraId="06386365" w14:textId="77777777" w:rsidR="00CB2A9B" w:rsidRPr="00BE4733" w:rsidRDefault="00CB2A9B">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1"/>
                <w:szCs w:val="21"/>
              </w:rPr>
            </w:pPr>
            <w:r w:rsidRPr="00BE4733">
              <w:rPr>
                <w:rFonts w:ascii="Calibri" w:eastAsia="Calibri" w:hAnsi="Calibri" w:cs="Calibri"/>
                <w:color w:val="000000" w:themeColor="text1"/>
                <w:sz w:val="21"/>
                <w:szCs w:val="21"/>
              </w:rPr>
              <w:t>Have not had a lease, ownership interest, or occupancy agreement in permanent housing during the 60 days prior to the homeless assistance application;</w:t>
            </w:r>
          </w:p>
          <w:p w14:paraId="3C49D017" w14:textId="77777777" w:rsidR="00CB2A9B" w:rsidRPr="00BE4733" w:rsidRDefault="00CB2A9B">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1"/>
                <w:szCs w:val="21"/>
              </w:rPr>
            </w:pPr>
            <w:r w:rsidRPr="00BE4733">
              <w:rPr>
                <w:rFonts w:ascii="Calibri" w:eastAsia="Calibri" w:hAnsi="Calibri" w:cs="Calibri"/>
                <w:color w:val="000000" w:themeColor="text1"/>
                <w:sz w:val="21"/>
                <w:szCs w:val="21"/>
              </w:rPr>
              <w:t>Have experienced persistent instability as measured by two moves or more during in the preceding 60 days; and</w:t>
            </w:r>
          </w:p>
          <w:p w14:paraId="74F8EF3D" w14:textId="37E37611" w:rsidR="00CB2A9B" w:rsidRPr="00BE4733" w:rsidRDefault="00CB2A9B">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1"/>
                <w:szCs w:val="21"/>
              </w:rPr>
            </w:pPr>
            <w:r w:rsidRPr="00BE4733">
              <w:rPr>
                <w:rFonts w:ascii="Calibri" w:eastAsia="Calibri" w:hAnsi="Calibri" w:cs="Calibri"/>
                <w:color w:val="000000" w:themeColor="text1"/>
                <w:sz w:val="21"/>
                <w:szCs w:val="21"/>
              </w:rPr>
              <w:t xml:space="preserve">Can be expected to continue in such status for an extended </w:t>
            </w:r>
            <w:r w:rsidR="00C777B8" w:rsidRPr="00BE4733">
              <w:rPr>
                <w:rFonts w:ascii="Calibri" w:eastAsia="Calibri" w:hAnsi="Calibri" w:cs="Calibri"/>
                <w:color w:val="000000" w:themeColor="text1"/>
                <w:sz w:val="21"/>
                <w:szCs w:val="21"/>
              </w:rPr>
              <w:t>period</w:t>
            </w:r>
            <w:r w:rsidRPr="00BE4733">
              <w:rPr>
                <w:rFonts w:ascii="Calibri" w:eastAsia="Calibri" w:hAnsi="Calibri" w:cs="Calibri"/>
                <w:color w:val="000000" w:themeColor="text1"/>
                <w:sz w:val="21"/>
                <w:szCs w:val="21"/>
              </w:rPr>
              <w:t xml:space="preserve"> due to special needs or barriers</w:t>
            </w:r>
          </w:p>
          <w:p w14:paraId="76C0D73F" w14:textId="4306BFCD" w:rsidR="00442BDB" w:rsidRPr="00BE4733" w:rsidRDefault="00442BDB" w:rsidP="000604EE">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1"/>
                <w:szCs w:val="21"/>
              </w:rPr>
            </w:pPr>
          </w:p>
        </w:tc>
      </w:tr>
      <w:tr w:rsidR="000C7D2E" w:rsidRPr="00BE4733" w14:paraId="2C089175" w14:textId="77777777" w:rsidTr="00F44868">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1613" w:type="dxa"/>
          </w:tcPr>
          <w:p w14:paraId="4AF90D59" w14:textId="77777777" w:rsidR="00CB2A9B" w:rsidRPr="00BE4733" w:rsidRDefault="00CB2A9B" w:rsidP="000604EE">
            <w:pPr>
              <w:tabs>
                <w:tab w:val="left" w:pos="269"/>
              </w:tabs>
              <w:ind w:right="158"/>
              <w:contextualSpacing/>
              <w:rPr>
                <w:rFonts w:ascii="Calibri" w:hAnsi="Calibri" w:cs="Calibri"/>
                <w:color w:val="000000" w:themeColor="text1"/>
                <w:sz w:val="21"/>
                <w:szCs w:val="21"/>
              </w:rPr>
            </w:pPr>
            <w:r w:rsidRPr="00BE4733">
              <w:rPr>
                <w:rFonts w:ascii="Calibri" w:hAnsi="Calibri" w:cs="Calibri"/>
                <w:color w:val="000000" w:themeColor="text1"/>
                <w:sz w:val="21"/>
                <w:szCs w:val="21"/>
              </w:rPr>
              <w:t>Category 4</w:t>
            </w:r>
          </w:p>
        </w:tc>
        <w:tc>
          <w:tcPr>
            <w:tcW w:w="1710" w:type="dxa"/>
          </w:tcPr>
          <w:p w14:paraId="4F81EB32" w14:textId="77777777" w:rsidR="00CB2A9B" w:rsidRPr="00BE4733" w:rsidRDefault="00CB2A9B" w:rsidP="000604EE">
            <w:pPr>
              <w:tabs>
                <w:tab w:val="left" w:pos="269"/>
              </w:tabs>
              <w:ind w:right="-2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rPr>
            </w:pPr>
            <w:r w:rsidRPr="00BE4733">
              <w:rPr>
                <w:rFonts w:ascii="Calibri" w:hAnsi="Calibri" w:cs="Calibri"/>
                <w:color w:val="000000" w:themeColor="text1"/>
                <w:sz w:val="21"/>
                <w:szCs w:val="21"/>
              </w:rPr>
              <w:t>Fleeing/</w:t>
            </w:r>
          </w:p>
          <w:p w14:paraId="4628AB2A" w14:textId="77777777" w:rsidR="00CB2A9B" w:rsidRPr="00BE4733" w:rsidRDefault="00CB2A9B" w:rsidP="000604EE">
            <w:pPr>
              <w:tabs>
                <w:tab w:val="left" w:pos="269"/>
              </w:tabs>
              <w:ind w:right="-2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rPr>
            </w:pPr>
            <w:r w:rsidRPr="00BE4733">
              <w:rPr>
                <w:rFonts w:ascii="Calibri" w:hAnsi="Calibri" w:cs="Calibri"/>
                <w:color w:val="000000" w:themeColor="text1"/>
                <w:sz w:val="21"/>
                <w:szCs w:val="21"/>
              </w:rPr>
              <w:t>Attempting to Flee Domestic Violence</w:t>
            </w:r>
          </w:p>
        </w:tc>
        <w:tc>
          <w:tcPr>
            <w:tcW w:w="9722" w:type="dxa"/>
          </w:tcPr>
          <w:p w14:paraId="213B4779" w14:textId="77777777" w:rsidR="00CB2A9B" w:rsidRPr="00BE4733" w:rsidRDefault="00CB2A9B" w:rsidP="000604EE">
            <w:p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1"/>
                <w:szCs w:val="21"/>
              </w:rPr>
            </w:pPr>
            <w:r w:rsidRPr="00BE4733">
              <w:rPr>
                <w:rFonts w:ascii="Calibri" w:eastAsia="Calibri" w:hAnsi="Calibri" w:cs="Calibri"/>
                <w:color w:val="000000" w:themeColor="text1"/>
                <w:sz w:val="21"/>
                <w:szCs w:val="21"/>
              </w:rPr>
              <w:t>Any individual or family who:</w:t>
            </w:r>
          </w:p>
          <w:p w14:paraId="7A319EEE" w14:textId="77777777" w:rsidR="00CB2A9B" w:rsidRPr="00BE4733" w:rsidRDefault="00CB2A9B">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1"/>
                <w:szCs w:val="21"/>
              </w:rPr>
            </w:pPr>
            <w:r w:rsidRPr="00BE4733">
              <w:rPr>
                <w:rFonts w:ascii="Calibri" w:eastAsia="Calibri" w:hAnsi="Calibri" w:cs="Calibri"/>
                <w:color w:val="000000" w:themeColor="text1"/>
                <w:sz w:val="21"/>
                <w:szCs w:val="21"/>
              </w:rPr>
              <w:t>Is fleeing, or is attempting to flee, domestic violence;</w:t>
            </w:r>
          </w:p>
          <w:p w14:paraId="5CAB1695" w14:textId="77777777" w:rsidR="00CB2A9B" w:rsidRPr="00BE4733" w:rsidRDefault="00CB2A9B">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1"/>
                <w:szCs w:val="21"/>
              </w:rPr>
            </w:pPr>
            <w:r w:rsidRPr="00BE4733">
              <w:rPr>
                <w:rFonts w:ascii="Calibri" w:eastAsia="Calibri" w:hAnsi="Calibri" w:cs="Calibri"/>
                <w:color w:val="000000" w:themeColor="text1"/>
                <w:sz w:val="21"/>
                <w:szCs w:val="21"/>
              </w:rPr>
              <w:t>Has no other residence; and</w:t>
            </w:r>
          </w:p>
          <w:p w14:paraId="2CD1B79E" w14:textId="77777777" w:rsidR="00CB2A9B" w:rsidRPr="00BE4733" w:rsidRDefault="00CB2A9B">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1"/>
                <w:szCs w:val="21"/>
              </w:rPr>
            </w:pPr>
            <w:r w:rsidRPr="00BE4733">
              <w:rPr>
                <w:rFonts w:ascii="Calibri" w:eastAsia="Calibri" w:hAnsi="Calibri" w:cs="Calibri"/>
                <w:color w:val="000000" w:themeColor="text1"/>
                <w:sz w:val="21"/>
                <w:szCs w:val="21"/>
              </w:rPr>
              <w:t>Lacks the resources or support networks to obtain other permanent housing</w:t>
            </w:r>
          </w:p>
          <w:p w14:paraId="2A8E315D" w14:textId="0CFEFA37" w:rsidR="00442BDB" w:rsidRPr="00BE4733" w:rsidRDefault="00442BDB" w:rsidP="000604EE">
            <w:pPr>
              <w:pStyle w:val="ListParagrap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1"/>
                <w:szCs w:val="21"/>
              </w:rPr>
            </w:pPr>
          </w:p>
        </w:tc>
      </w:tr>
    </w:tbl>
    <w:p w14:paraId="5A32C011" w14:textId="1DCD6265" w:rsidR="00442BDB" w:rsidRPr="00BE4733" w:rsidRDefault="00442BDB" w:rsidP="000604EE">
      <w:pPr>
        <w:contextualSpacing/>
        <w:rPr>
          <w:rFonts w:ascii="Calibri" w:hAnsi="Calibri" w:cs="Calibri"/>
        </w:rPr>
      </w:pPr>
    </w:p>
    <w:p w14:paraId="6B447376" w14:textId="5483AD2A" w:rsidR="00A76818" w:rsidRPr="00BE4733" w:rsidRDefault="00A76818" w:rsidP="000604EE">
      <w:pPr>
        <w:contextualSpacing/>
        <w:rPr>
          <w:rFonts w:ascii="Calibri" w:hAnsi="Calibri" w:cs="Calibri"/>
        </w:rPr>
      </w:pPr>
    </w:p>
    <w:p w14:paraId="5A9707C3" w14:textId="6F11A611" w:rsidR="00A76818" w:rsidRPr="00BE4733" w:rsidRDefault="00A76818" w:rsidP="000604EE">
      <w:pPr>
        <w:contextualSpacing/>
        <w:rPr>
          <w:rFonts w:ascii="Calibri" w:hAnsi="Calibri" w:cs="Calibri"/>
        </w:rPr>
      </w:pPr>
    </w:p>
    <w:p w14:paraId="131CDF67" w14:textId="77777777" w:rsidR="00A76818" w:rsidRPr="00BE4733" w:rsidRDefault="00A76818" w:rsidP="000604EE">
      <w:pPr>
        <w:contextualSpacing/>
        <w:rPr>
          <w:rFonts w:ascii="Calibri" w:hAnsi="Calibri" w:cs="Calibri"/>
        </w:rPr>
      </w:pPr>
    </w:p>
    <w:p w14:paraId="108F90FA" w14:textId="236F4E41" w:rsidR="00A76818" w:rsidRPr="00BE4733" w:rsidRDefault="00A76818" w:rsidP="000604EE">
      <w:pPr>
        <w:contextualSpacing/>
        <w:rPr>
          <w:rFonts w:ascii="Calibri" w:hAnsi="Calibri" w:cs="Calibri"/>
        </w:rPr>
      </w:pPr>
    </w:p>
    <w:p w14:paraId="40BEC8C2" w14:textId="1CA1E034" w:rsidR="00481FAF" w:rsidRPr="0061434B" w:rsidRDefault="00481FAF" w:rsidP="00BE4733">
      <w:pPr>
        <w:pStyle w:val="Heading2"/>
        <w:numPr>
          <w:ilvl w:val="3"/>
          <w:numId w:val="105"/>
        </w:numPr>
        <w:ind w:left="360"/>
        <w:rPr>
          <w:color w:val="0070C0"/>
        </w:rPr>
      </w:pPr>
      <w:bookmarkStart w:id="198" w:name="_Toc124255105"/>
      <w:r w:rsidRPr="0061434B">
        <w:rPr>
          <w:color w:val="0070C0"/>
        </w:rPr>
        <w:t>HUD Record Keeping Requirements</w:t>
      </w:r>
      <w:bookmarkEnd w:id="198"/>
    </w:p>
    <w:tbl>
      <w:tblPr>
        <w:tblStyle w:val="GridTable2-Accent1"/>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710"/>
        <w:gridCol w:w="9720"/>
      </w:tblGrid>
      <w:tr w:rsidR="00BF7FF4" w:rsidRPr="00BE4733" w14:paraId="60EB76F3" w14:textId="77777777" w:rsidTr="00F448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top w:val="none" w:sz="0" w:space="0" w:color="auto"/>
              <w:bottom w:val="none" w:sz="0" w:space="0" w:color="auto"/>
              <w:right w:val="none" w:sz="0" w:space="0" w:color="auto"/>
            </w:tcBorders>
          </w:tcPr>
          <w:p w14:paraId="60B83D26" w14:textId="77777777" w:rsidR="00BF7FF4" w:rsidRPr="00BE4733" w:rsidRDefault="00BF7FF4" w:rsidP="000604EE">
            <w:pPr>
              <w:tabs>
                <w:tab w:val="left" w:pos="269"/>
              </w:tabs>
              <w:ind w:right="158"/>
              <w:contextualSpacing/>
              <w:rPr>
                <w:rFonts w:ascii="Calibri" w:hAnsi="Calibri" w:cs="Calibri"/>
                <w:color w:val="000000" w:themeColor="text1"/>
                <w:sz w:val="21"/>
                <w:szCs w:val="21"/>
              </w:rPr>
            </w:pPr>
            <w:r w:rsidRPr="00BE4733">
              <w:rPr>
                <w:rFonts w:ascii="Calibri" w:hAnsi="Calibri" w:cs="Calibri"/>
                <w:color w:val="000000" w:themeColor="text1"/>
                <w:sz w:val="21"/>
                <w:szCs w:val="21"/>
              </w:rPr>
              <w:lastRenderedPageBreak/>
              <w:t>Category 1</w:t>
            </w:r>
          </w:p>
        </w:tc>
        <w:tc>
          <w:tcPr>
            <w:tcW w:w="1710" w:type="dxa"/>
            <w:tcBorders>
              <w:top w:val="none" w:sz="0" w:space="0" w:color="auto"/>
              <w:left w:val="none" w:sz="0" w:space="0" w:color="auto"/>
              <w:bottom w:val="none" w:sz="0" w:space="0" w:color="auto"/>
              <w:right w:val="none" w:sz="0" w:space="0" w:color="auto"/>
            </w:tcBorders>
          </w:tcPr>
          <w:p w14:paraId="170EB206" w14:textId="77777777" w:rsidR="00BF7FF4" w:rsidRPr="00BE4733" w:rsidRDefault="00BF7FF4" w:rsidP="000604EE">
            <w:pPr>
              <w:tabs>
                <w:tab w:val="left" w:pos="269"/>
              </w:tabs>
              <w:ind w:right="-20"/>
              <w:contextualSpacing/>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1"/>
                <w:szCs w:val="21"/>
              </w:rPr>
            </w:pPr>
            <w:r w:rsidRPr="00BE4733">
              <w:rPr>
                <w:rFonts w:ascii="Calibri" w:hAnsi="Calibri" w:cs="Calibri"/>
                <w:b w:val="0"/>
                <w:bCs w:val="0"/>
                <w:color w:val="000000" w:themeColor="text1"/>
                <w:sz w:val="21"/>
                <w:szCs w:val="21"/>
              </w:rPr>
              <w:t>Literally Homeless</w:t>
            </w:r>
          </w:p>
        </w:tc>
        <w:tc>
          <w:tcPr>
            <w:tcW w:w="9720" w:type="dxa"/>
            <w:tcBorders>
              <w:top w:val="none" w:sz="0" w:space="0" w:color="auto"/>
              <w:left w:val="none" w:sz="0" w:space="0" w:color="auto"/>
              <w:bottom w:val="none" w:sz="0" w:space="0" w:color="auto"/>
            </w:tcBorders>
          </w:tcPr>
          <w:p w14:paraId="5526BA7D" w14:textId="27458FA8" w:rsidR="00BF7FF4" w:rsidRPr="00BE4733" w:rsidRDefault="00BF7FF4">
            <w:pPr>
              <w:numPr>
                <w:ilvl w:val="0"/>
                <w:numId w:val="36"/>
              </w:numPr>
              <w:tabs>
                <w:tab w:val="left" w:pos="722"/>
              </w:tabs>
              <w:ind w:left="344" w:right="220"/>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sz w:val="20"/>
                <w:szCs w:val="20"/>
              </w:rPr>
            </w:pPr>
            <w:r w:rsidRPr="00BE4733">
              <w:rPr>
                <w:rFonts w:ascii="Calibri" w:eastAsia="Calibri" w:hAnsi="Calibri" w:cs="Calibri"/>
                <w:b w:val="0"/>
                <w:bCs w:val="0"/>
                <w:color w:val="000000" w:themeColor="text1"/>
                <w:sz w:val="20"/>
                <w:szCs w:val="20"/>
              </w:rPr>
              <w:t xml:space="preserve">Written observation by the outreach worker; </w:t>
            </w:r>
            <w:r w:rsidRPr="00BE4733">
              <w:rPr>
                <w:rFonts w:ascii="Calibri" w:eastAsia="Calibri" w:hAnsi="Calibri" w:cs="Calibri"/>
                <w:b w:val="0"/>
                <w:bCs w:val="0"/>
                <w:color w:val="000000" w:themeColor="text1"/>
                <w:sz w:val="20"/>
                <w:szCs w:val="20"/>
                <w:u w:val="single"/>
              </w:rPr>
              <w:t>or</w:t>
            </w:r>
          </w:p>
          <w:p w14:paraId="32A4D827" w14:textId="715CA45A" w:rsidR="00BF7FF4" w:rsidRPr="00BE4733" w:rsidRDefault="00BF7FF4">
            <w:pPr>
              <w:numPr>
                <w:ilvl w:val="0"/>
                <w:numId w:val="36"/>
              </w:numPr>
              <w:tabs>
                <w:tab w:val="left" w:pos="722"/>
              </w:tabs>
              <w:ind w:left="344" w:right="220"/>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sz w:val="20"/>
                <w:szCs w:val="20"/>
              </w:rPr>
            </w:pPr>
            <w:r w:rsidRPr="00BE4733">
              <w:rPr>
                <w:rFonts w:ascii="Calibri" w:eastAsia="Calibri" w:hAnsi="Calibri" w:cs="Calibri"/>
                <w:b w:val="0"/>
                <w:bCs w:val="0"/>
                <w:color w:val="000000" w:themeColor="text1"/>
                <w:sz w:val="20"/>
                <w:szCs w:val="20"/>
              </w:rPr>
              <w:t xml:space="preserve">Written referral by another housing or service provider; </w:t>
            </w:r>
            <w:r w:rsidRPr="00BE4733">
              <w:rPr>
                <w:rFonts w:ascii="Calibri" w:eastAsia="Calibri" w:hAnsi="Calibri" w:cs="Calibri"/>
                <w:b w:val="0"/>
                <w:bCs w:val="0"/>
                <w:color w:val="000000" w:themeColor="text1"/>
                <w:sz w:val="20"/>
                <w:szCs w:val="20"/>
                <w:u w:val="single"/>
              </w:rPr>
              <w:t>or</w:t>
            </w:r>
          </w:p>
          <w:p w14:paraId="0A1A0EF2" w14:textId="4644F32F" w:rsidR="00BF7FF4" w:rsidRPr="00BE4733" w:rsidRDefault="00BF7FF4">
            <w:pPr>
              <w:numPr>
                <w:ilvl w:val="0"/>
                <w:numId w:val="36"/>
              </w:numPr>
              <w:tabs>
                <w:tab w:val="left" w:pos="722"/>
              </w:tabs>
              <w:ind w:left="344" w:right="220"/>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sz w:val="20"/>
                <w:szCs w:val="20"/>
              </w:rPr>
            </w:pPr>
            <w:r w:rsidRPr="00BE4733">
              <w:rPr>
                <w:rFonts w:ascii="Calibri" w:eastAsia="Calibri" w:hAnsi="Calibri" w:cs="Calibri"/>
                <w:b w:val="0"/>
                <w:bCs w:val="0"/>
                <w:color w:val="000000" w:themeColor="text1"/>
                <w:sz w:val="20"/>
                <w:szCs w:val="20"/>
              </w:rPr>
              <w:t>Certification by the individual or head of house</w:t>
            </w:r>
            <w:r w:rsidR="003D1273" w:rsidRPr="00BE4733">
              <w:rPr>
                <w:rFonts w:ascii="Calibri" w:eastAsia="Calibri" w:hAnsi="Calibri" w:cs="Calibri"/>
                <w:b w:val="0"/>
                <w:bCs w:val="0"/>
                <w:color w:val="000000" w:themeColor="text1"/>
                <w:sz w:val="20"/>
                <w:szCs w:val="20"/>
              </w:rPr>
              <w:t>h</w:t>
            </w:r>
            <w:r w:rsidRPr="00BE4733">
              <w:rPr>
                <w:rFonts w:ascii="Calibri" w:eastAsia="Calibri" w:hAnsi="Calibri" w:cs="Calibri"/>
                <w:b w:val="0"/>
                <w:bCs w:val="0"/>
                <w:color w:val="000000" w:themeColor="text1"/>
                <w:sz w:val="20"/>
                <w:szCs w:val="20"/>
              </w:rPr>
              <w:t xml:space="preserve">old seeking assistance stating (s)he was </w:t>
            </w:r>
            <w:proofErr w:type="gramStart"/>
            <w:r w:rsidRPr="00BE4733">
              <w:rPr>
                <w:rFonts w:ascii="Calibri" w:eastAsia="Calibri" w:hAnsi="Calibri" w:cs="Calibri"/>
                <w:b w:val="0"/>
                <w:bCs w:val="0"/>
                <w:color w:val="000000" w:themeColor="text1"/>
                <w:sz w:val="20"/>
                <w:szCs w:val="20"/>
              </w:rPr>
              <w:t>living on the streets</w:t>
            </w:r>
            <w:proofErr w:type="gramEnd"/>
            <w:r w:rsidRPr="00BE4733">
              <w:rPr>
                <w:rFonts w:ascii="Calibri" w:eastAsia="Calibri" w:hAnsi="Calibri" w:cs="Calibri"/>
                <w:b w:val="0"/>
                <w:bCs w:val="0"/>
                <w:color w:val="000000" w:themeColor="text1"/>
                <w:sz w:val="20"/>
                <w:szCs w:val="20"/>
              </w:rPr>
              <w:t xml:space="preserve"> or in shelter</w:t>
            </w:r>
          </w:p>
          <w:p w14:paraId="77A64DFE" w14:textId="51A12F9E" w:rsidR="00BF7FF4" w:rsidRPr="00BE4733" w:rsidRDefault="00BF7FF4">
            <w:pPr>
              <w:numPr>
                <w:ilvl w:val="0"/>
                <w:numId w:val="36"/>
              </w:numPr>
              <w:tabs>
                <w:tab w:val="left" w:pos="722"/>
              </w:tabs>
              <w:ind w:left="344" w:right="220"/>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sz w:val="20"/>
                <w:szCs w:val="20"/>
              </w:rPr>
            </w:pPr>
            <w:r w:rsidRPr="00BE4733">
              <w:rPr>
                <w:rFonts w:ascii="Calibri" w:eastAsia="Calibri" w:hAnsi="Calibri" w:cs="Calibri"/>
                <w:b w:val="0"/>
                <w:bCs w:val="0"/>
                <w:color w:val="000000" w:themeColor="text1"/>
                <w:sz w:val="20"/>
                <w:szCs w:val="20"/>
              </w:rPr>
              <w:t xml:space="preserve">For individuals exiting an institution—one of the forms of evidence above </w:t>
            </w:r>
            <w:r w:rsidR="003D1273" w:rsidRPr="00BE4733">
              <w:rPr>
                <w:rFonts w:ascii="Calibri" w:eastAsia="Calibri" w:hAnsi="Calibri" w:cs="Calibri"/>
                <w:b w:val="0"/>
                <w:bCs w:val="0"/>
                <w:color w:val="000000" w:themeColor="text1"/>
                <w:sz w:val="20"/>
                <w:szCs w:val="20"/>
                <w:u w:val="single"/>
              </w:rPr>
              <w:t>and</w:t>
            </w:r>
            <w:r w:rsidRPr="00BE4733">
              <w:rPr>
                <w:rFonts w:ascii="Calibri" w:eastAsia="Calibri" w:hAnsi="Calibri" w:cs="Calibri"/>
                <w:b w:val="0"/>
                <w:bCs w:val="0"/>
                <w:color w:val="000000" w:themeColor="text1"/>
                <w:sz w:val="20"/>
                <w:szCs w:val="20"/>
              </w:rPr>
              <w:t>:</w:t>
            </w:r>
          </w:p>
          <w:p w14:paraId="145D9247" w14:textId="6102F38A" w:rsidR="00BF7FF4" w:rsidRPr="00BE4733" w:rsidRDefault="00BF7FF4">
            <w:pPr>
              <w:numPr>
                <w:ilvl w:val="1"/>
                <w:numId w:val="36"/>
              </w:numPr>
              <w:tabs>
                <w:tab w:val="left" w:pos="722"/>
              </w:tabs>
              <w:ind w:left="974" w:right="220"/>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sz w:val="20"/>
                <w:szCs w:val="20"/>
              </w:rPr>
            </w:pPr>
            <w:r w:rsidRPr="00BE4733">
              <w:rPr>
                <w:rFonts w:ascii="Calibri" w:eastAsia="Calibri" w:hAnsi="Calibri" w:cs="Calibri"/>
                <w:b w:val="0"/>
                <w:bCs w:val="0"/>
                <w:color w:val="000000" w:themeColor="text1"/>
                <w:sz w:val="20"/>
                <w:szCs w:val="20"/>
              </w:rPr>
              <w:t xml:space="preserve">Discharge paperwork or written/oral referral, </w:t>
            </w:r>
            <w:r w:rsidRPr="00BE4733">
              <w:rPr>
                <w:rFonts w:ascii="Calibri" w:eastAsia="Calibri" w:hAnsi="Calibri" w:cs="Calibri"/>
                <w:b w:val="0"/>
                <w:bCs w:val="0"/>
                <w:color w:val="000000" w:themeColor="text1"/>
                <w:sz w:val="20"/>
                <w:szCs w:val="20"/>
                <w:u w:val="single"/>
              </w:rPr>
              <w:t>or</w:t>
            </w:r>
          </w:p>
          <w:p w14:paraId="49CD3808" w14:textId="2D228E64" w:rsidR="00BF7FF4" w:rsidRPr="00BE4733" w:rsidRDefault="00BF7FF4" w:rsidP="00BE4733">
            <w:pPr>
              <w:numPr>
                <w:ilvl w:val="1"/>
                <w:numId w:val="36"/>
              </w:numPr>
              <w:tabs>
                <w:tab w:val="left" w:pos="722"/>
              </w:tabs>
              <w:spacing w:after="120"/>
              <w:ind w:left="979" w:right="216"/>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sz w:val="20"/>
                <w:szCs w:val="20"/>
              </w:rPr>
            </w:pPr>
            <w:r w:rsidRPr="00BE4733">
              <w:rPr>
                <w:rFonts w:ascii="Calibri" w:eastAsia="Calibri" w:hAnsi="Calibri" w:cs="Calibri"/>
                <w:b w:val="0"/>
                <w:bCs w:val="0"/>
                <w:color w:val="000000" w:themeColor="text1"/>
                <w:sz w:val="20"/>
                <w:szCs w:val="20"/>
              </w:rPr>
              <w:t xml:space="preserve">Written record of intake worker’s due diligence to obtain above evidence </w:t>
            </w:r>
            <w:r w:rsidR="003D1273" w:rsidRPr="00BE4733">
              <w:rPr>
                <w:rFonts w:ascii="Calibri" w:eastAsia="Calibri" w:hAnsi="Calibri" w:cs="Calibri"/>
                <w:b w:val="0"/>
                <w:bCs w:val="0"/>
                <w:color w:val="000000" w:themeColor="text1"/>
                <w:sz w:val="20"/>
                <w:szCs w:val="20"/>
                <w:u w:val="single"/>
              </w:rPr>
              <w:t>and</w:t>
            </w:r>
            <w:r w:rsidRPr="00BE4733">
              <w:rPr>
                <w:rFonts w:ascii="Calibri" w:eastAsia="Calibri" w:hAnsi="Calibri" w:cs="Calibri"/>
                <w:b w:val="0"/>
                <w:bCs w:val="0"/>
                <w:color w:val="000000" w:themeColor="text1"/>
                <w:sz w:val="20"/>
                <w:szCs w:val="20"/>
              </w:rPr>
              <w:t xml:space="preserve"> certification by individuals that they exited institution</w:t>
            </w:r>
          </w:p>
        </w:tc>
      </w:tr>
      <w:tr w:rsidR="00BF7FF4" w:rsidRPr="00BE4733" w14:paraId="46AB696B" w14:textId="77777777" w:rsidTr="00F44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43F45A2" w14:textId="77777777" w:rsidR="00BF7FF4" w:rsidRPr="00BE4733" w:rsidRDefault="00BF7FF4" w:rsidP="000604EE">
            <w:pPr>
              <w:tabs>
                <w:tab w:val="left" w:pos="269"/>
              </w:tabs>
              <w:ind w:right="158"/>
              <w:contextualSpacing/>
              <w:rPr>
                <w:rFonts w:ascii="Calibri" w:hAnsi="Calibri" w:cs="Calibri"/>
                <w:color w:val="000000" w:themeColor="text1"/>
                <w:sz w:val="21"/>
                <w:szCs w:val="21"/>
              </w:rPr>
            </w:pPr>
            <w:r w:rsidRPr="00BE4733">
              <w:rPr>
                <w:rFonts w:ascii="Calibri" w:hAnsi="Calibri" w:cs="Calibri"/>
                <w:color w:val="000000" w:themeColor="text1"/>
                <w:sz w:val="21"/>
                <w:szCs w:val="21"/>
              </w:rPr>
              <w:t>Category 2</w:t>
            </w:r>
          </w:p>
        </w:tc>
        <w:tc>
          <w:tcPr>
            <w:tcW w:w="1710" w:type="dxa"/>
          </w:tcPr>
          <w:p w14:paraId="4A5F2D45" w14:textId="77777777" w:rsidR="00BF7FF4" w:rsidRPr="00BE4733" w:rsidRDefault="00BF7FF4" w:rsidP="000604EE">
            <w:pPr>
              <w:tabs>
                <w:tab w:val="left" w:pos="269"/>
              </w:tabs>
              <w:ind w:right="-2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rPr>
            </w:pPr>
            <w:r w:rsidRPr="00BE4733">
              <w:rPr>
                <w:rFonts w:ascii="Calibri" w:hAnsi="Calibri" w:cs="Calibri"/>
                <w:color w:val="000000" w:themeColor="text1"/>
                <w:sz w:val="21"/>
                <w:szCs w:val="21"/>
              </w:rPr>
              <w:t>Imminent Risk of Homelessness</w:t>
            </w:r>
          </w:p>
        </w:tc>
        <w:tc>
          <w:tcPr>
            <w:tcW w:w="9720" w:type="dxa"/>
          </w:tcPr>
          <w:p w14:paraId="2E30F7EB" w14:textId="252ECB03" w:rsidR="00BF7FF4" w:rsidRPr="00BE4733" w:rsidRDefault="00BF7FF4">
            <w:pPr>
              <w:pStyle w:val="ListParagraph"/>
              <w:numPr>
                <w:ilvl w:val="0"/>
                <w:numId w:val="37"/>
              </w:numPr>
              <w:ind w:left="344"/>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rPr>
            </w:pPr>
            <w:r w:rsidRPr="00BE4733">
              <w:rPr>
                <w:rFonts w:ascii="Calibri" w:eastAsia="Calibri" w:hAnsi="Calibri" w:cs="Calibri"/>
                <w:color w:val="000000" w:themeColor="text1"/>
                <w:sz w:val="20"/>
                <w:szCs w:val="20"/>
              </w:rPr>
              <w:t xml:space="preserve">A court order resulting from an eviction action notifying the individual or family that they must leave; </w:t>
            </w:r>
            <w:r w:rsidRPr="00BE4733">
              <w:rPr>
                <w:rFonts w:ascii="Calibri" w:eastAsia="Calibri" w:hAnsi="Calibri" w:cs="Calibri"/>
                <w:color w:val="000000" w:themeColor="text1"/>
                <w:sz w:val="20"/>
                <w:szCs w:val="20"/>
                <w:u w:val="single"/>
              </w:rPr>
              <w:t>or</w:t>
            </w:r>
          </w:p>
          <w:p w14:paraId="0F2F0AA9" w14:textId="21E77D35" w:rsidR="00BF7FF4" w:rsidRPr="00BE4733" w:rsidRDefault="00BF7FF4">
            <w:pPr>
              <w:pStyle w:val="ListParagraph"/>
              <w:numPr>
                <w:ilvl w:val="0"/>
                <w:numId w:val="37"/>
              </w:numPr>
              <w:ind w:left="344"/>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rPr>
            </w:pPr>
            <w:r w:rsidRPr="00BE4733">
              <w:rPr>
                <w:rFonts w:ascii="Calibri" w:eastAsia="Calibri" w:hAnsi="Calibri" w:cs="Calibri"/>
                <w:color w:val="000000" w:themeColor="text1"/>
                <w:sz w:val="20"/>
                <w:szCs w:val="20"/>
              </w:rPr>
              <w:t xml:space="preserve">For individuals and families leaving a hotel or motel—evidence that they lack the financial resources to stay; </w:t>
            </w:r>
            <w:r w:rsidRPr="00BE4733">
              <w:rPr>
                <w:rFonts w:ascii="Calibri" w:eastAsia="Calibri" w:hAnsi="Calibri" w:cs="Calibri"/>
                <w:color w:val="000000" w:themeColor="text1"/>
                <w:sz w:val="20"/>
                <w:szCs w:val="20"/>
                <w:u w:val="single"/>
              </w:rPr>
              <w:t>or</w:t>
            </w:r>
          </w:p>
          <w:p w14:paraId="48BB2C4D" w14:textId="38ADC3F6" w:rsidR="00BF7FF4" w:rsidRPr="00BE4733" w:rsidRDefault="00BF7FF4">
            <w:pPr>
              <w:pStyle w:val="ListParagraph"/>
              <w:numPr>
                <w:ilvl w:val="0"/>
                <w:numId w:val="37"/>
              </w:numPr>
              <w:ind w:left="344"/>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rPr>
            </w:pPr>
            <w:r w:rsidRPr="00BE4733">
              <w:rPr>
                <w:rFonts w:ascii="Calibri" w:eastAsia="Calibri" w:hAnsi="Calibri" w:cs="Calibri"/>
                <w:color w:val="000000" w:themeColor="text1"/>
                <w:sz w:val="20"/>
                <w:szCs w:val="20"/>
              </w:rPr>
              <w:t xml:space="preserve">A documented and verified oral statement; </w:t>
            </w:r>
            <w:r w:rsidR="003D1273" w:rsidRPr="00BE4733">
              <w:rPr>
                <w:rFonts w:ascii="Calibri" w:eastAsia="Calibri" w:hAnsi="Calibri" w:cs="Calibri"/>
                <w:color w:val="000000" w:themeColor="text1"/>
                <w:sz w:val="20"/>
                <w:szCs w:val="20"/>
                <w:u w:val="single"/>
              </w:rPr>
              <w:t>and</w:t>
            </w:r>
          </w:p>
          <w:p w14:paraId="0770F52D" w14:textId="7177294C" w:rsidR="00BF7FF4" w:rsidRPr="00BE4733" w:rsidRDefault="00BF7FF4">
            <w:pPr>
              <w:pStyle w:val="ListParagraph"/>
              <w:numPr>
                <w:ilvl w:val="0"/>
                <w:numId w:val="37"/>
              </w:numPr>
              <w:ind w:left="344"/>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rPr>
            </w:pPr>
            <w:r w:rsidRPr="00BE4733">
              <w:rPr>
                <w:rFonts w:ascii="Calibri" w:eastAsia="Calibri" w:hAnsi="Calibri" w:cs="Calibri"/>
                <w:color w:val="000000" w:themeColor="text1"/>
                <w:sz w:val="20"/>
                <w:szCs w:val="20"/>
              </w:rPr>
              <w:t>Certification that non subsequent resident has been identified;</w:t>
            </w:r>
            <w:r w:rsidR="003D1273" w:rsidRPr="00BE4733">
              <w:rPr>
                <w:rFonts w:ascii="Calibri" w:eastAsia="Calibri" w:hAnsi="Calibri" w:cs="Calibri"/>
                <w:color w:val="000000" w:themeColor="text1"/>
                <w:sz w:val="20"/>
                <w:szCs w:val="20"/>
              </w:rPr>
              <w:t xml:space="preserve"> </w:t>
            </w:r>
            <w:r w:rsidR="003D1273" w:rsidRPr="00BE4733">
              <w:rPr>
                <w:rFonts w:ascii="Calibri" w:eastAsia="Calibri" w:hAnsi="Calibri" w:cs="Calibri"/>
                <w:color w:val="000000" w:themeColor="text1"/>
                <w:sz w:val="20"/>
                <w:szCs w:val="20"/>
                <w:u w:val="single"/>
              </w:rPr>
              <w:t>and</w:t>
            </w:r>
          </w:p>
          <w:p w14:paraId="27B78664" w14:textId="4FE77ACE" w:rsidR="00BF7FF4" w:rsidRPr="00BE4733" w:rsidRDefault="00BF7FF4" w:rsidP="00BE4733">
            <w:pPr>
              <w:pStyle w:val="ListParagraph"/>
              <w:numPr>
                <w:ilvl w:val="0"/>
                <w:numId w:val="37"/>
              </w:numPr>
              <w:spacing w:after="120"/>
              <w:ind w:left="346"/>
              <w:contextualSpacing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rPr>
            </w:pPr>
            <w:r w:rsidRPr="00BE4733">
              <w:rPr>
                <w:rFonts w:ascii="Calibri" w:eastAsia="Calibri" w:hAnsi="Calibri" w:cs="Calibri"/>
                <w:color w:val="000000" w:themeColor="text1"/>
                <w:sz w:val="20"/>
                <w:szCs w:val="20"/>
              </w:rPr>
              <w:t>Self-certification or other written documentation that the individual lack the financial resources and support necessary to obtain permanent housing</w:t>
            </w:r>
          </w:p>
        </w:tc>
      </w:tr>
      <w:tr w:rsidR="00BF7FF4" w:rsidRPr="00BE4733" w14:paraId="45D3B5A4" w14:textId="77777777" w:rsidTr="00F44868">
        <w:tc>
          <w:tcPr>
            <w:cnfStyle w:val="001000000000" w:firstRow="0" w:lastRow="0" w:firstColumn="1" w:lastColumn="0" w:oddVBand="0" w:evenVBand="0" w:oddHBand="0" w:evenHBand="0" w:firstRowFirstColumn="0" w:firstRowLastColumn="0" w:lastRowFirstColumn="0" w:lastRowLastColumn="0"/>
            <w:tcW w:w="1615" w:type="dxa"/>
          </w:tcPr>
          <w:p w14:paraId="38F80577" w14:textId="77777777" w:rsidR="00BF7FF4" w:rsidRPr="00BE4733" w:rsidRDefault="00BF7FF4" w:rsidP="000604EE">
            <w:pPr>
              <w:tabs>
                <w:tab w:val="left" w:pos="269"/>
              </w:tabs>
              <w:ind w:right="158"/>
              <w:contextualSpacing/>
              <w:rPr>
                <w:rFonts w:ascii="Calibri" w:hAnsi="Calibri" w:cs="Calibri"/>
                <w:color w:val="000000" w:themeColor="text1"/>
                <w:sz w:val="21"/>
                <w:szCs w:val="21"/>
              </w:rPr>
            </w:pPr>
            <w:r w:rsidRPr="00BE4733">
              <w:rPr>
                <w:rFonts w:ascii="Calibri" w:hAnsi="Calibri" w:cs="Calibri"/>
                <w:color w:val="000000" w:themeColor="text1"/>
                <w:sz w:val="21"/>
                <w:szCs w:val="21"/>
              </w:rPr>
              <w:t>Category 3</w:t>
            </w:r>
          </w:p>
        </w:tc>
        <w:tc>
          <w:tcPr>
            <w:tcW w:w="1710" w:type="dxa"/>
          </w:tcPr>
          <w:p w14:paraId="1DF666AC" w14:textId="77777777" w:rsidR="00BF7FF4" w:rsidRPr="00BE4733" w:rsidRDefault="00BF7FF4" w:rsidP="000604EE">
            <w:pPr>
              <w:tabs>
                <w:tab w:val="left" w:pos="269"/>
              </w:tabs>
              <w:ind w:right="-2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1"/>
                <w:szCs w:val="21"/>
              </w:rPr>
            </w:pPr>
            <w:r w:rsidRPr="00BE4733">
              <w:rPr>
                <w:rFonts w:ascii="Calibri" w:hAnsi="Calibri" w:cs="Calibri"/>
                <w:color w:val="000000" w:themeColor="text1"/>
                <w:sz w:val="21"/>
                <w:szCs w:val="21"/>
              </w:rPr>
              <w:t>Homeless Under Other Federal Statutes</w:t>
            </w:r>
          </w:p>
        </w:tc>
        <w:tc>
          <w:tcPr>
            <w:tcW w:w="9720" w:type="dxa"/>
          </w:tcPr>
          <w:p w14:paraId="4DC664E1" w14:textId="16BDB95C" w:rsidR="00BF7FF4" w:rsidRPr="00BE4733" w:rsidRDefault="00BF7FF4">
            <w:pPr>
              <w:pStyle w:val="ListParagraph"/>
              <w:numPr>
                <w:ilvl w:val="0"/>
                <w:numId w:val="37"/>
              </w:numPr>
              <w:ind w:left="344"/>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00BE4733">
              <w:rPr>
                <w:rFonts w:ascii="Calibri" w:eastAsia="Calibri" w:hAnsi="Calibri" w:cs="Calibri"/>
                <w:color w:val="000000" w:themeColor="text1"/>
                <w:sz w:val="20"/>
                <w:szCs w:val="20"/>
              </w:rPr>
              <w:t xml:space="preserve">Certification by the nonprofit or state or local government that the individual or head of household seeking assistance met the criteria of homelessness under another federal statute; </w:t>
            </w:r>
            <w:r w:rsidRPr="00BE4733">
              <w:rPr>
                <w:rFonts w:ascii="Calibri" w:eastAsia="Calibri" w:hAnsi="Calibri" w:cs="Calibri"/>
                <w:color w:val="000000" w:themeColor="text1"/>
                <w:sz w:val="20"/>
                <w:szCs w:val="20"/>
                <w:u w:val="single"/>
              </w:rPr>
              <w:t>and</w:t>
            </w:r>
          </w:p>
          <w:p w14:paraId="496EBA15" w14:textId="2289D915" w:rsidR="00BF7FF4" w:rsidRPr="00BE4733" w:rsidRDefault="00BF7FF4">
            <w:pPr>
              <w:pStyle w:val="ListParagraph"/>
              <w:numPr>
                <w:ilvl w:val="0"/>
                <w:numId w:val="37"/>
              </w:numPr>
              <w:ind w:left="344"/>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00BE4733">
              <w:rPr>
                <w:rFonts w:ascii="Calibri" w:eastAsia="Calibri" w:hAnsi="Calibri" w:cs="Calibri"/>
                <w:color w:val="000000" w:themeColor="text1"/>
                <w:sz w:val="20"/>
                <w:szCs w:val="20"/>
              </w:rPr>
              <w:t xml:space="preserve">Certification of no PH in the last 60 days; </w:t>
            </w:r>
            <w:r w:rsidRPr="00BE4733">
              <w:rPr>
                <w:rFonts w:ascii="Calibri" w:eastAsia="Calibri" w:hAnsi="Calibri" w:cs="Calibri"/>
                <w:color w:val="000000" w:themeColor="text1"/>
                <w:sz w:val="20"/>
                <w:szCs w:val="20"/>
                <w:u w:val="single"/>
              </w:rPr>
              <w:t>and</w:t>
            </w:r>
          </w:p>
          <w:p w14:paraId="041AB21A" w14:textId="666D204C" w:rsidR="00BF7FF4" w:rsidRPr="00BE4733" w:rsidRDefault="00BF7FF4">
            <w:pPr>
              <w:pStyle w:val="ListParagraph"/>
              <w:numPr>
                <w:ilvl w:val="0"/>
                <w:numId w:val="37"/>
              </w:numPr>
              <w:ind w:left="344"/>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00BE4733">
              <w:rPr>
                <w:rFonts w:ascii="Calibri" w:eastAsia="Calibri" w:hAnsi="Calibri" w:cs="Calibri"/>
                <w:color w:val="000000" w:themeColor="text1"/>
                <w:sz w:val="20"/>
                <w:szCs w:val="20"/>
              </w:rPr>
              <w:t xml:space="preserve">Certification by the individual or head of household, and any available supporting documentation, that (s)he has moved two or </w:t>
            </w:r>
            <w:r w:rsidR="00C777B8" w:rsidRPr="00BE4733">
              <w:rPr>
                <w:rFonts w:ascii="Calibri" w:eastAsia="Calibri" w:hAnsi="Calibri" w:cs="Calibri"/>
                <w:color w:val="000000" w:themeColor="text1"/>
                <w:sz w:val="20"/>
                <w:szCs w:val="20"/>
              </w:rPr>
              <w:t>more</w:t>
            </w:r>
            <w:r w:rsidRPr="00BE4733">
              <w:rPr>
                <w:rFonts w:ascii="Calibri" w:eastAsia="Calibri" w:hAnsi="Calibri" w:cs="Calibri"/>
                <w:color w:val="000000" w:themeColor="text1"/>
                <w:sz w:val="20"/>
                <w:szCs w:val="20"/>
              </w:rPr>
              <w:t xml:space="preserve"> times in the past 60 days; </w:t>
            </w:r>
            <w:r w:rsidRPr="00BE4733">
              <w:rPr>
                <w:rFonts w:ascii="Calibri" w:eastAsia="Calibri" w:hAnsi="Calibri" w:cs="Calibri"/>
                <w:color w:val="000000" w:themeColor="text1"/>
                <w:sz w:val="20"/>
                <w:szCs w:val="20"/>
                <w:u w:val="single"/>
              </w:rPr>
              <w:t>and</w:t>
            </w:r>
          </w:p>
          <w:p w14:paraId="5F6F2462" w14:textId="072F9EF5" w:rsidR="00BF7FF4" w:rsidRPr="00BE4733" w:rsidRDefault="00BF7FF4" w:rsidP="00BE4733">
            <w:pPr>
              <w:pStyle w:val="ListParagraph"/>
              <w:numPr>
                <w:ilvl w:val="0"/>
                <w:numId w:val="37"/>
              </w:numPr>
              <w:spacing w:after="120"/>
              <w:ind w:left="346"/>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00BE4733">
              <w:rPr>
                <w:rFonts w:ascii="Calibri" w:eastAsia="Calibri" w:hAnsi="Calibri" w:cs="Calibri"/>
                <w:color w:val="000000" w:themeColor="text1"/>
                <w:sz w:val="20"/>
                <w:szCs w:val="20"/>
              </w:rPr>
              <w:t>Documentation of special needs or 2 more barriers</w:t>
            </w:r>
          </w:p>
        </w:tc>
      </w:tr>
      <w:tr w:rsidR="00442BDB" w:rsidRPr="00BE4733" w14:paraId="0D771131" w14:textId="77777777" w:rsidTr="00F44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5EC3FF3" w14:textId="77777777" w:rsidR="00BF7FF4" w:rsidRPr="00BE4733" w:rsidRDefault="00BF7FF4" w:rsidP="000604EE">
            <w:pPr>
              <w:tabs>
                <w:tab w:val="left" w:pos="269"/>
              </w:tabs>
              <w:ind w:right="158"/>
              <w:contextualSpacing/>
              <w:rPr>
                <w:rFonts w:ascii="Calibri" w:hAnsi="Calibri" w:cs="Calibri"/>
                <w:color w:val="000000" w:themeColor="text1"/>
                <w:sz w:val="21"/>
                <w:szCs w:val="21"/>
              </w:rPr>
            </w:pPr>
            <w:r w:rsidRPr="00BE4733">
              <w:rPr>
                <w:rFonts w:ascii="Calibri" w:hAnsi="Calibri" w:cs="Calibri"/>
                <w:color w:val="000000" w:themeColor="text1"/>
                <w:sz w:val="21"/>
                <w:szCs w:val="21"/>
              </w:rPr>
              <w:t>Category 4</w:t>
            </w:r>
          </w:p>
        </w:tc>
        <w:tc>
          <w:tcPr>
            <w:tcW w:w="1710" w:type="dxa"/>
          </w:tcPr>
          <w:p w14:paraId="335E3248" w14:textId="77777777" w:rsidR="00BF7FF4" w:rsidRPr="00BE4733" w:rsidRDefault="00BF7FF4" w:rsidP="000604EE">
            <w:pPr>
              <w:tabs>
                <w:tab w:val="left" w:pos="269"/>
              </w:tabs>
              <w:ind w:right="-2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rPr>
            </w:pPr>
            <w:r w:rsidRPr="00BE4733">
              <w:rPr>
                <w:rFonts w:ascii="Calibri" w:hAnsi="Calibri" w:cs="Calibri"/>
                <w:color w:val="000000" w:themeColor="text1"/>
                <w:sz w:val="21"/>
                <w:szCs w:val="21"/>
              </w:rPr>
              <w:t>Fleeing/</w:t>
            </w:r>
          </w:p>
          <w:p w14:paraId="3FBBC84D" w14:textId="77777777" w:rsidR="00BF7FF4" w:rsidRPr="00BE4733" w:rsidRDefault="00BF7FF4" w:rsidP="000604EE">
            <w:pPr>
              <w:tabs>
                <w:tab w:val="left" w:pos="269"/>
              </w:tabs>
              <w:ind w:right="-2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rPr>
            </w:pPr>
            <w:r w:rsidRPr="00BE4733">
              <w:rPr>
                <w:rFonts w:ascii="Calibri" w:hAnsi="Calibri" w:cs="Calibri"/>
                <w:color w:val="000000" w:themeColor="text1"/>
                <w:sz w:val="21"/>
                <w:szCs w:val="21"/>
              </w:rPr>
              <w:t>Attempting to Flee Domestic Violence</w:t>
            </w:r>
          </w:p>
        </w:tc>
        <w:tc>
          <w:tcPr>
            <w:tcW w:w="9720" w:type="dxa"/>
          </w:tcPr>
          <w:p w14:paraId="1A7DE484" w14:textId="77777777" w:rsidR="00BF7FF4" w:rsidRPr="00BE4733" w:rsidRDefault="00BF7FF4">
            <w:pPr>
              <w:pStyle w:val="ListParagraph"/>
              <w:numPr>
                <w:ilvl w:val="0"/>
                <w:numId w:val="38"/>
              </w:numPr>
              <w:ind w:left="344"/>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rPr>
            </w:pPr>
            <w:r w:rsidRPr="00BE4733">
              <w:rPr>
                <w:rFonts w:ascii="Calibri" w:eastAsia="Calibri" w:hAnsi="Calibri" w:cs="Calibri"/>
                <w:color w:val="000000" w:themeColor="text1"/>
                <w:sz w:val="20"/>
                <w:szCs w:val="20"/>
              </w:rPr>
              <w:t>For victim service providers:</w:t>
            </w:r>
          </w:p>
          <w:p w14:paraId="51B1CD31" w14:textId="77777777" w:rsidR="00BF7FF4" w:rsidRPr="00BE4733" w:rsidRDefault="00BF7FF4">
            <w:pPr>
              <w:pStyle w:val="ListParagraph"/>
              <w:numPr>
                <w:ilvl w:val="1"/>
                <w:numId w:val="38"/>
              </w:numPr>
              <w:ind w:left="884"/>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rPr>
            </w:pPr>
            <w:r w:rsidRPr="00BE4733">
              <w:rPr>
                <w:rFonts w:ascii="Calibri" w:eastAsia="Calibri" w:hAnsi="Calibri" w:cs="Calibri"/>
                <w:color w:val="000000" w:themeColor="text1"/>
                <w:sz w:val="20"/>
                <w:szCs w:val="20"/>
              </w:rPr>
              <w:t>An oral statement by the individual or head of household seeking assistance which states: they are fleeing; they have no subsequent residence; and they lack resources. Statement must be documented by a self-certification or a certification by the intake worker.</w:t>
            </w:r>
          </w:p>
          <w:p w14:paraId="7A425780" w14:textId="77777777" w:rsidR="00BF7FF4" w:rsidRPr="00BE4733" w:rsidRDefault="00BF7FF4">
            <w:pPr>
              <w:pStyle w:val="ListParagraph"/>
              <w:numPr>
                <w:ilvl w:val="0"/>
                <w:numId w:val="38"/>
              </w:numPr>
              <w:ind w:left="434"/>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rPr>
            </w:pPr>
            <w:r w:rsidRPr="00BE4733">
              <w:rPr>
                <w:rFonts w:ascii="Calibri" w:eastAsia="Calibri" w:hAnsi="Calibri" w:cs="Calibri"/>
                <w:color w:val="000000" w:themeColor="text1"/>
                <w:sz w:val="20"/>
                <w:szCs w:val="20"/>
              </w:rPr>
              <w:t>For non-victim service providers:</w:t>
            </w:r>
          </w:p>
          <w:p w14:paraId="7C7159C2" w14:textId="742B0D3F" w:rsidR="00BF7FF4" w:rsidRPr="00BE4733" w:rsidRDefault="00BF7FF4">
            <w:pPr>
              <w:pStyle w:val="ListParagraph"/>
              <w:numPr>
                <w:ilvl w:val="1"/>
                <w:numId w:val="38"/>
              </w:numPr>
              <w:ind w:left="884"/>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rPr>
            </w:pPr>
            <w:r w:rsidRPr="00BE4733">
              <w:rPr>
                <w:rFonts w:ascii="Calibri" w:eastAsia="Calibri" w:hAnsi="Calibri" w:cs="Calibri"/>
                <w:color w:val="000000" w:themeColor="text1"/>
                <w:sz w:val="20"/>
                <w:szCs w:val="20"/>
              </w:rPr>
              <w:t xml:space="preserve">Oral statement by the individual or head of household seeking assistance that they are fleeing. This statement is documented by a self-certification or by the caseworker. Where the safety of the individual or family is not jeopardized, the oral statement must be verified; </w:t>
            </w:r>
            <w:r w:rsidRPr="00BE4733">
              <w:rPr>
                <w:rFonts w:ascii="Calibri" w:eastAsia="Calibri" w:hAnsi="Calibri" w:cs="Calibri"/>
                <w:color w:val="000000" w:themeColor="text1"/>
                <w:sz w:val="20"/>
                <w:szCs w:val="20"/>
                <w:u w:val="single"/>
              </w:rPr>
              <w:t>and</w:t>
            </w:r>
          </w:p>
          <w:p w14:paraId="3CA95161" w14:textId="77777777" w:rsidR="00BF7FF4" w:rsidRPr="00BE4733" w:rsidRDefault="00BF7FF4">
            <w:pPr>
              <w:pStyle w:val="ListParagraph"/>
              <w:numPr>
                <w:ilvl w:val="1"/>
                <w:numId w:val="38"/>
              </w:numPr>
              <w:ind w:left="884"/>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rPr>
            </w:pPr>
            <w:r w:rsidRPr="00BE4733">
              <w:rPr>
                <w:rFonts w:ascii="Calibri" w:eastAsia="Calibri" w:hAnsi="Calibri" w:cs="Calibri"/>
                <w:color w:val="000000" w:themeColor="text1"/>
                <w:sz w:val="20"/>
                <w:szCs w:val="20"/>
              </w:rPr>
              <w:t xml:space="preserve">Certification by the individual or head of household that no subsequent residence has been identified; </w:t>
            </w:r>
            <w:r w:rsidRPr="00BE4733">
              <w:rPr>
                <w:rFonts w:ascii="Calibri" w:eastAsia="Calibri" w:hAnsi="Calibri" w:cs="Calibri"/>
                <w:color w:val="000000" w:themeColor="text1"/>
                <w:sz w:val="20"/>
                <w:szCs w:val="20"/>
                <w:u w:val="single"/>
              </w:rPr>
              <w:t>and</w:t>
            </w:r>
          </w:p>
          <w:p w14:paraId="682924D6" w14:textId="0AE5217F" w:rsidR="00BF7FF4" w:rsidRPr="00BE4733" w:rsidRDefault="00BF7FF4" w:rsidP="00BE4733">
            <w:pPr>
              <w:pStyle w:val="ListParagraph"/>
              <w:numPr>
                <w:ilvl w:val="1"/>
                <w:numId w:val="38"/>
              </w:numPr>
              <w:spacing w:after="120"/>
              <w:ind w:left="878"/>
              <w:contextualSpacing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rPr>
            </w:pPr>
            <w:r w:rsidRPr="00BE4733">
              <w:rPr>
                <w:rFonts w:ascii="Calibri" w:eastAsia="Calibri" w:hAnsi="Calibri" w:cs="Calibri"/>
                <w:color w:val="000000" w:themeColor="text1"/>
                <w:sz w:val="20"/>
                <w:szCs w:val="20"/>
              </w:rPr>
              <w:t>Self-certification, or other written documentation, that the individual or family lacks the financial resources and support networks to obtain other permanent housing.</w:t>
            </w:r>
          </w:p>
        </w:tc>
      </w:tr>
    </w:tbl>
    <w:p w14:paraId="16967FD2" w14:textId="77777777" w:rsidR="00F44868" w:rsidRPr="00BE4733" w:rsidRDefault="00F44868">
      <w:pPr>
        <w:spacing w:after="200" w:line="276" w:lineRule="auto"/>
        <w:rPr>
          <w:smallCaps/>
          <w:color w:val="F19416"/>
          <w:spacing w:val="5"/>
          <w:sz w:val="32"/>
          <w:szCs w:val="32"/>
        </w:rPr>
      </w:pPr>
      <w:r w:rsidRPr="00BE4733">
        <w:br w:type="page"/>
      </w:r>
    </w:p>
    <w:p w14:paraId="36210AC9" w14:textId="3D739384" w:rsidR="00626800" w:rsidRPr="0061434B" w:rsidRDefault="00626800" w:rsidP="00BE4733">
      <w:pPr>
        <w:pStyle w:val="Heading2"/>
        <w:numPr>
          <w:ilvl w:val="3"/>
          <w:numId w:val="105"/>
        </w:numPr>
        <w:ind w:left="360"/>
        <w:rPr>
          <w:color w:val="0070C0"/>
        </w:rPr>
      </w:pPr>
      <w:bookmarkStart w:id="199" w:name="_Toc124255106"/>
      <w:r w:rsidRPr="0061434B">
        <w:rPr>
          <w:color w:val="0070C0"/>
        </w:rPr>
        <w:lastRenderedPageBreak/>
        <w:t>Eligibility By Component</w:t>
      </w:r>
      <w:bookmarkEnd w:id="199"/>
    </w:p>
    <w:tbl>
      <w:tblPr>
        <w:tblStyle w:val="GridTable4-Accent1"/>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588"/>
        <w:gridCol w:w="1042"/>
        <w:gridCol w:w="1042"/>
        <w:gridCol w:w="1043"/>
        <w:gridCol w:w="1858"/>
        <w:gridCol w:w="1683"/>
      </w:tblGrid>
      <w:tr w:rsidR="004961C6" w:rsidRPr="00BE4733" w14:paraId="3A0AEC83" w14:textId="77777777" w:rsidTr="00F44868">
        <w:trPr>
          <w:cnfStyle w:val="100000000000" w:firstRow="1" w:lastRow="0" w:firstColumn="0" w:lastColumn="0" w:oddVBand="0" w:evenVBand="0" w:oddHBand="0"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1851" w:type="dxa"/>
            <w:vMerge w:val="restart"/>
            <w:tcBorders>
              <w:top w:val="none" w:sz="0" w:space="0" w:color="auto"/>
              <w:left w:val="none" w:sz="0" w:space="0" w:color="auto"/>
              <w:bottom w:val="none" w:sz="0" w:space="0" w:color="auto"/>
              <w:right w:val="none" w:sz="0" w:space="0" w:color="auto"/>
            </w:tcBorders>
          </w:tcPr>
          <w:p w14:paraId="33714CAA" w14:textId="77777777" w:rsidR="004961C6" w:rsidRPr="00BE4733" w:rsidRDefault="004961C6" w:rsidP="000604EE">
            <w:pPr>
              <w:contextualSpacing/>
              <w:rPr>
                <w:rFonts w:ascii="Calibri" w:hAnsi="Calibri" w:cs="Calibri"/>
                <w:b w:val="0"/>
                <w:bCs w:val="0"/>
                <w:color w:val="000000" w:themeColor="text1"/>
              </w:rPr>
            </w:pPr>
            <w:r w:rsidRPr="00BE4733">
              <w:rPr>
                <w:rFonts w:ascii="Calibri" w:hAnsi="Calibri" w:cs="Calibri"/>
                <w:b w:val="0"/>
                <w:bCs w:val="0"/>
                <w:color w:val="000000" w:themeColor="text1"/>
              </w:rPr>
              <w:t>Component</w:t>
            </w:r>
          </w:p>
        </w:tc>
        <w:tc>
          <w:tcPr>
            <w:tcW w:w="1588" w:type="dxa"/>
            <w:vMerge w:val="restart"/>
            <w:tcBorders>
              <w:top w:val="none" w:sz="0" w:space="0" w:color="auto"/>
              <w:left w:val="none" w:sz="0" w:space="0" w:color="auto"/>
              <w:bottom w:val="none" w:sz="0" w:space="0" w:color="auto"/>
              <w:right w:val="none" w:sz="0" w:space="0" w:color="auto"/>
            </w:tcBorders>
          </w:tcPr>
          <w:p w14:paraId="6669C721" w14:textId="77777777" w:rsidR="004961C6" w:rsidRPr="00BE4733" w:rsidRDefault="004961C6" w:rsidP="000604EE">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rPr>
            </w:pPr>
            <w:r w:rsidRPr="00BE4733">
              <w:rPr>
                <w:rFonts w:ascii="Calibri" w:hAnsi="Calibri" w:cs="Calibri"/>
                <w:b w:val="0"/>
                <w:bCs w:val="0"/>
                <w:color w:val="000000" w:themeColor="text1"/>
              </w:rPr>
              <w:t>Funding</w:t>
            </w:r>
          </w:p>
        </w:tc>
        <w:tc>
          <w:tcPr>
            <w:tcW w:w="3127" w:type="dxa"/>
            <w:gridSpan w:val="3"/>
            <w:tcBorders>
              <w:top w:val="none" w:sz="0" w:space="0" w:color="auto"/>
              <w:left w:val="none" w:sz="0" w:space="0" w:color="auto"/>
              <w:bottom w:val="none" w:sz="0" w:space="0" w:color="auto"/>
              <w:right w:val="none" w:sz="0" w:space="0" w:color="auto"/>
            </w:tcBorders>
          </w:tcPr>
          <w:p w14:paraId="0309339B" w14:textId="77777777" w:rsidR="004961C6" w:rsidRPr="00BE4733" w:rsidRDefault="004961C6" w:rsidP="000604EE">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rPr>
            </w:pPr>
            <w:r w:rsidRPr="00BE4733">
              <w:rPr>
                <w:rFonts w:ascii="Calibri" w:hAnsi="Calibri" w:cs="Calibri"/>
                <w:b w:val="0"/>
                <w:bCs w:val="0"/>
                <w:color w:val="000000" w:themeColor="text1"/>
              </w:rPr>
              <w:t>HUD Homeless Category</w:t>
            </w:r>
          </w:p>
        </w:tc>
        <w:tc>
          <w:tcPr>
            <w:tcW w:w="1858" w:type="dxa"/>
            <w:vMerge w:val="restart"/>
            <w:tcBorders>
              <w:top w:val="none" w:sz="0" w:space="0" w:color="auto"/>
              <w:left w:val="none" w:sz="0" w:space="0" w:color="auto"/>
              <w:bottom w:val="none" w:sz="0" w:space="0" w:color="auto"/>
              <w:right w:val="none" w:sz="0" w:space="0" w:color="auto"/>
            </w:tcBorders>
          </w:tcPr>
          <w:p w14:paraId="039CD359" w14:textId="77777777" w:rsidR="004961C6" w:rsidRPr="00BE4733" w:rsidRDefault="004961C6" w:rsidP="000604EE">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rPr>
            </w:pPr>
            <w:r w:rsidRPr="00BE4733">
              <w:rPr>
                <w:rFonts w:ascii="Calibri" w:hAnsi="Calibri" w:cs="Calibri"/>
                <w:b w:val="0"/>
                <w:bCs w:val="0"/>
                <w:color w:val="000000" w:themeColor="text1"/>
              </w:rPr>
              <w:t>Income Limits</w:t>
            </w:r>
          </w:p>
        </w:tc>
        <w:tc>
          <w:tcPr>
            <w:tcW w:w="1683" w:type="dxa"/>
            <w:vMerge w:val="restart"/>
            <w:tcBorders>
              <w:top w:val="none" w:sz="0" w:space="0" w:color="auto"/>
              <w:left w:val="none" w:sz="0" w:space="0" w:color="auto"/>
              <w:bottom w:val="none" w:sz="0" w:space="0" w:color="auto"/>
              <w:right w:val="none" w:sz="0" w:space="0" w:color="auto"/>
            </w:tcBorders>
          </w:tcPr>
          <w:p w14:paraId="09771FC8" w14:textId="58F467AB" w:rsidR="004961C6" w:rsidRPr="00BE4733" w:rsidRDefault="004961C6" w:rsidP="000604EE">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rPr>
            </w:pPr>
            <w:r w:rsidRPr="00BE4733">
              <w:rPr>
                <w:rFonts w:ascii="Calibri" w:hAnsi="Calibri" w:cs="Calibri"/>
                <w:b w:val="0"/>
                <w:bCs w:val="0"/>
                <w:color w:val="000000" w:themeColor="text1"/>
              </w:rPr>
              <w:t>Chronic Homeless (CH)</w:t>
            </w:r>
          </w:p>
        </w:tc>
      </w:tr>
      <w:tr w:rsidR="004961C6" w:rsidRPr="00BE4733" w14:paraId="16C0968C" w14:textId="77777777" w:rsidTr="00F44868">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1851" w:type="dxa"/>
            <w:vMerge/>
          </w:tcPr>
          <w:p w14:paraId="5020218D" w14:textId="77777777" w:rsidR="004961C6" w:rsidRPr="00BE4733" w:rsidRDefault="004961C6" w:rsidP="000604EE">
            <w:pPr>
              <w:contextualSpacing/>
              <w:rPr>
                <w:rFonts w:ascii="Calibri" w:hAnsi="Calibri" w:cs="Calibri"/>
                <w:b w:val="0"/>
                <w:bCs w:val="0"/>
                <w:color w:val="000000" w:themeColor="text1"/>
                <w:sz w:val="20"/>
                <w:szCs w:val="20"/>
              </w:rPr>
            </w:pPr>
          </w:p>
        </w:tc>
        <w:tc>
          <w:tcPr>
            <w:tcW w:w="1588" w:type="dxa"/>
            <w:vMerge/>
          </w:tcPr>
          <w:p w14:paraId="7BB3EE65" w14:textId="77777777"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tc>
        <w:tc>
          <w:tcPr>
            <w:tcW w:w="1042" w:type="dxa"/>
            <w:shd w:val="clear" w:color="auto" w:fill="0F6FC6" w:themeFill="accent1"/>
          </w:tcPr>
          <w:p w14:paraId="40CD802B" w14:textId="77777777"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1</w:t>
            </w:r>
          </w:p>
        </w:tc>
        <w:tc>
          <w:tcPr>
            <w:tcW w:w="1042" w:type="dxa"/>
            <w:shd w:val="clear" w:color="auto" w:fill="0F6FC6" w:themeFill="accent1"/>
          </w:tcPr>
          <w:p w14:paraId="26BAC59E" w14:textId="77777777"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2</w:t>
            </w:r>
          </w:p>
        </w:tc>
        <w:tc>
          <w:tcPr>
            <w:tcW w:w="1042" w:type="dxa"/>
            <w:shd w:val="clear" w:color="auto" w:fill="0F6FC6" w:themeFill="accent1"/>
          </w:tcPr>
          <w:p w14:paraId="663C09A0" w14:textId="77777777"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4</w:t>
            </w:r>
          </w:p>
        </w:tc>
        <w:tc>
          <w:tcPr>
            <w:tcW w:w="1858" w:type="dxa"/>
            <w:vMerge/>
          </w:tcPr>
          <w:p w14:paraId="284A270D" w14:textId="77777777"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tc>
        <w:tc>
          <w:tcPr>
            <w:tcW w:w="1683" w:type="dxa"/>
            <w:vMerge/>
          </w:tcPr>
          <w:p w14:paraId="1B6F4541" w14:textId="77777777"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tc>
      </w:tr>
      <w:tr w:rsidR="004961C6" w:rsidRPr="00BE4733" w14:paraId="61310A26" w14:textId="77777777" w:rsidTr="00F44868">
        <w:trPr>
          <w:trHeight w:val="714"/>
          <w:jc w:val="center"/>
        </w:trPr>
        <w:tc>
          <w:tcPr>
            <w:cnfStyle w:val="001000000000" w:firstRow="0" w:lastRow="0" w:firstColumn="1" w:lastColumn="0" w:oddVBand="0" w:evenVBand="0" w:oddHBand="0" w:evenHBand="0" w:firstRowFirstColumn="0" w:firstRowLastColumn="0" w:lastRowFirstColumn="0" w:lastRowLastColumn="0"/>
            <w:tcW w:w="1851" w:type="dxa"/>
            <w:shd w:val="clear" w:color="auto" w:fill="FFFFFF" w:themeFill="background1"/>
          </w:tcPr>
          <w:p w14:paraId="755C3AB8" w14:textId="77777777" w:rsidR="004961C6" w:rsidRPr="00BE4733" w:rsidRDefault="004961C6" w:rsidP="000604EE">
            <w:pPr>
              <w:contextualSpacing/>
              <w:rPr>
                <w:rFonts w:ascii="Calibri" w:hAnsi="Calibri" w:cs="Calibri"/>
                <w:b w:val="0"/>
                <w:bCs w:val="0"/>
                <w:color w:val="000000" w:themeColor="text1"/>
              </w:rPr>
            </w:pPr>
            <w:r w:rsidRPr="00BE4733">
              <w:rPr>
                <w:rFonts w:ascii="Calibri" w:hAnsi="Calibri" w:cs="Calibri"/>
                <w:b w:val="0"/>
                <w:bCs w:val="0"/>
                <w:color w:val="000000" w:themeColor="text1"/>
              </w:rPr>
              <w:t>Emergency Shelter</w:t>
            </w:r>
          </w:p>
        </w:tc>
        <w:tc>
          <w:tcPr>
            <w:tcW w:w="1588" w:type="dxa"/>
            <w:shd w:val="clear" w:color="auto" w:fill="FFFFFF" w:themeFill="background1"/>
          </w:tcPr>
          <w:p w14:paraId="6E459815" w14:textId="77777777" w:rsidR="004961C6" w:rsidRPr="00BE4733" w:rsidRDefault="004961C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ESG</w:t>
            </w:r>
          </w:p>
        </w:tc>
        <w:tc>
          <w:tcPr>
            <w:tcW w:w="1042" w:type="dxa"/>
            <w:shd w:val="clear" w:color="auto" w:fill="FFFFFF" w:themeFill="background1"/>
          </w:tcPr>
          <w:p w14:paraId="7EE8458D" w14:textId="77777777" w:rsidR="004961C6" w:rsidRPr="00BE4733" w:rsidRDefault="004961C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X</w:t>
            </w:r>
          </w:p>
        </w:tc>
        <w:tc>
          <w:tcPr>
            <w:tcW w:w="1042" w:type="dxa"/>
            <w:shd w:val="clear" w:color="auto" w:fill="FFFFFF" w:themeFill="background1"/>
          </w:tcPr>
          <w:p w14:paraId="2FC13007" w14:textId="77777777" w:rsidR="004961C6" w:rsidRPr="00BE4733" w:rsidRDefault="004961C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X</w:t>
            </w:r>
          </w:p>
        </w:tc>
        <w:tc>
          <w:tcPr>
            <w:tcW w:w="1042" w:type="dxa"/>
            <w:shd w:val="clear" w:color="auto" w:fill="FFFFFF" w:themeFill="background1"/>
          </w:tcPr>
          <w:p w14:paraId="215C557C" w14:textId="77777777" w:rsidR="004961C6" w:rsidRPr="00BE4733" w:rsidRDefault="004961C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X</w:t>
            </w:r>
          </w:p>
        </w:tc>
        <w:tc>
          <w:tcPr>
            <w:tcW w:w="1858" w:type="dxa"/>
            <w:shd w:val="clear" w:color="auto" w:fill="FFFFFF" w:themeFill="background1"/>
          </w:tcPr>
          <w:p w14:paraId="6E4840D3" w14:textId="77777777" w:rsidR="004961C6" w:rsidRPr="00BE4733" w:rsidRDefault="004961C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tc>
        <w:tc>
          <w:tcPr>
            <w:tcW w:w="1683" w:type="dxa"/>
            <w:shd w:val="clear" w:color="auto" w:fill="FFFFFF" w:themeFill="background1"/>
          </w:tcPr>
          <w:p w14:paraId="43A9B928" w14:textId="77777777" w:rsidR="004961C6" w:rsidRPr="00BE4733" w:rsidRDefault="004961C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tc>
      </w:tr>
      <w:tr w:rsidR="004961C6" w:rsidRPr="00BE4733" w14:paraId="7E6ECB7D" w14:textId="77777777" w:rsidTr="00F44868">
        <w:trPr>
          <w:cnfStyle w:val="000000100000" w:firstRow="0" w:lastRow="0" w:firstColumn="0" w:lastColumn="0" w:oddVBand="0" w:evenVBand="0" w:oddHBand="1" w:evenHBand="0" w:firstRowFirstColumn="0" w:firstRowLastColumn="0" w:lastRowFirstColumn="0" w:lastRowLastColumn="0"/>
          <w:trHeight w:val="714"/>
          <w:jc w:val="center"/>
        </w:trPr>
        <w:tc>
          <w:tcPr>
            <w:cnfStyle w:val="001000000000" w:firstRow="0" w:lastRow="0" w:firstColumn="1" w:lastColumn="0" w:oddVBand="0" w:evenVBand="0" w:oddHBand="0" w:evenHBand="0" w:firstRowFirstColumn="0" w:firstRowLastColumn="0" w:lastRowFirstColumn="0" w:lastRowLastColumn="0"/>
            <w:tcW w:w="1851" w:type="dxa"/>
            <w:shd w:val="clear" w:color="auto" w:fill="FFFFFF" w:themeFill="background1"/>
          </w:tcPr>
          <w:p w14:paraId="315F2CBF" w14:textId="77777777" w:rsidR="004961C6" w:rsidRPr="00BE4733" w:rsidRDefault="004961C6" w:rsidP="000604EE">
            <w:pPr>
              <w:contextualSpacing/>
              <w:rPr>
                <w:rFonts w:ascii="Calibri" w:hAnsi="Calibri" w:cs="Calibri"/>
                <w:b w:val="0"/>
                <w:bCs w:val="0"/>
                <w:color w:val="000000" w:themeColor="text1"/>
              </w:rPr>
            </w:pPr>
            <w:r w:rsidRPr="00BE4733">
              <w:rPr>
                <w:rFonts w:ascii="Calibri" w:hAnsi="Calibri" w:cs="Calibri"/>
                <w:b w:val="0"/>
                <w:bCs w:val="0"/>
                <w:color w:val="000000" w:themeColor="text1"/>
              </w:rPr>
              <w:t>Homeless Prevention</w:t>
            </w:r>
          </w:p>
        </w:tc>
        <w:tc>
          <w:tcPr>
            <w:tcW w:w="1588" w:type="dxa"/>
            <w:shd w:val="clear" w:color="auto" w:fill="FFFFFF" w:themeFill="background1"/>
          </w:tcPr>
          <w:p w14:paraId="2B44662B" w14:textId="2557D2C8"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ESG</w:t>
            </w:r>
            <w:r w:rsidR="00807F91" w:rsidRPr="00BE4733">
              <w:rPr>
                <w:rFonts w:ascii="Calibri" w:hAnsi="Calibri" w:cs="Calibri"/>
                <w:color w:val="000000" w:themeColor="text1"/>
              </w:rPr>
              <w:t>, HEAP</w:t>
            </w:r>
          </w:p>
        </w:tc>
        <w:tc>
          <w:tcPr>
            <w:tcW w:w="1042" w:type="dxa"/>
            <w:shd w:val="clear" w:color="auto" w:fill="FFFFFF" w:themeFill="background1"/>
          </w:tcPr>
          <w:p w14:paraId="7A103DBC" w14:textId="77777777"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tc>
        <w:tc>
          <w:tcPr>
            <w:tcW w:w="1042" w:type="dxa"/>
            <w:shd w:val="clear" w:color="auto" w:fill="FFFFFF" w:themeFill="background1"/>
          </w:tcPr>
          <w:p w14:paraId="5C1D4563" w14:textId="77777777"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X</w:t>
            </w:r>
          </w:p>
        </w:tc>
        <w:tc>
          <w:tcPr>
            <w:tcW w:w="1042" w:type="dxa"/>
            <w:shd w:val="clear" w:color="auto" w:fill="FFFFFF" w:themeFill="background1"/>
          </w:tcPr>
          <w:p w14:paraId="69FBDCFA" w14:textId="77777777"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X</w:t>
            </w:r>
          </w:p>
        </w:tc>
        <w:tc>
          <w:tcPr>
            <w:tcW w:w="1858" w:type="dxa"/>
            <w:shd w:val="clear" w:color="auto" w:fill="FFFFFF" w:themeFill="background1"/>
          </w:tcPr>
          <w:p w14:paraId="7E593FE1" w14:textId="77777777"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X</w:t>
            </w:r>
          </w:p>
        </w:tc>
        <w:tc>
          <w:tcPr>
            <w:tcW w:w="1683" w:type="dxa"/>
            <w:shd w:val="clear" w:color="auto" w:fill="FFFFFF" w:themeFill="background1"/>
          </w:tcPr>
          <w:p w14:paraId="0098BBF1" w14:textId="77777777"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tc>
      </w:tr>
      <w:tr w:rsidR="004961C6" w:rsidRPr="00BE4733" w14:paraId="5CB5C7F0" w14:textId="77777777" w:rsidTr="00F44868">
        <w:trPr>
          <w:trHeight w:val="219"/>
          <w:jc w:val="center"/>
        </w:trPr>
        <w:tc>
          <w:tcPr>
            <w:cnfStyle w:val="001000000000" w:firstRow="0" w:lastRow="0" w:firstColumn="1" w:lastColumn="0" w:oddVBand="0" w:evenVBand="0" w:oddHBand="0" w:evenHBand="0" w:firstRowFirstColumn="0" w:firstRowLastColumn="0" w:lastRowFirstColumn="0" w:lastRowLastColumn="0"/>
            <w:tcW w:w="1851" w:type="dxa"/>
            <w:shd w:val="clear" w:color="auto" w:fill="FFFFFF" w:themeFill="background1"/>
          </w:tcPr>
          <w:p w14:paraId="7B816A6D" w14:textId="77777777" w:rsidR="004961C6" w:rsidRPr="00BE4733" w:rsidRDefault="004961C6" w:rsidP="000604EE">
            <w:pPr>
              <w:contextualSpacing/>
              <w:rPr>
                <w:rFonts w:ascii="Calibri" w:hAnsi="Calibri" w:cs="Calibri"/>
                <w:b w:val="0"/>
                <w:bCs w:val="0"/>
                <w:color w:val="000000" w:themeColor="text1"/>
              </w:rPr>
            </w:pPr>
            <w:r w:rsidRPr="00BE4733">
              <w:rPr>
                <w:rFonts w:ascii="Calibri" w:hAnsi="Calibri" w:cs="Calibri"/>
                <w:b w:val="0"/>
                <w:bCs w:val="0"/>
                <w:color w:val="000000" w:themeColor="text1"/>
              </w:rPr>
              <w:t>RRH</w:t>
            </w:r>
          </w:p>
        </w:tc>
        <w:tc>
          <w:tcPr>
            <w:tcW w:w="1588" w:type="dxa"/>
            <w:shd w:val="clear" w:color="auto" w:fill="FFFFFF" w:themeFill="background1"/>
          </w:tcPr>
          <w:p w14:paraId="2EDCD242" w14:textId="6E36ADA0" w:rsidR="004961C6" w:rsidRPr="00BE4733" w:rsidRDefault="004961C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ESG</w:t>
            </w:r>
          </w:p>
        </w:tc>
        <w:tc>
          <w:tcPr>
            <w:tcW w:w="1042" w:type="dxa"/>
            <w:shd w:val="clear" w:color="auto" w:fill="FFFFFF" w:themeFill="background1"/>
          </w:tcPr>
          <w:p w14:paraId="687AEECA" w14:textId="77777777" w:rsidR="004961C6" w:rsidRPr="00BE4733" w:rsidRDefault="004961C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X</w:t>
            </w:r>
          </w:p>
        </w:tc>
        <w:tc>
          <w:tcPr>
            <w:tcW w:w="1042" w:type="dxa"/>
            <w:shd w:val="clear" w:color="auto" w:fill="FFFFFF" w:themeFill="background1"/>
          </w:tcPr>
          <w:p w14:paraId="4F2799CB" w14:textId="77777777" w:rsidR="004961C6" w:rsidRPr="00BE4733" w:rsidRDefault="004961C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tc>
        <w:tc>
          <w:tcPr>
            <w:tcW w:w="1042" w:type="dxa"/>
            <w:shd w:val="clear" w:color="auto" w:fill="FFFFFF" w:themeFill="background1"/>
          </w:tcPr>
          <w:p w14:paraId="3D43D57E" w14:textId="77777777" w:rsidR="004961C6" w:rsidRPr="00BE4733" w:rsidRDefault="004961C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tc>
        <w:tc>
          <w:tcPr>
            <w:tcW w:w="1858" w:type="dxa"/>
            <w:shd w:val="clear" w:color="auto" w:fill="FFFFFF" w:themeFill="background1"/>
          </w:tcPr>
          <w:p w14:paraId="6E6206F5" w14:textId="3339E244" w:rsidR="004961C6" w:rsidRPr="00BE4733" w:rsidRDefault="004961C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X*</w:t>
            </w:r>
          </w:p>
        </w:tc>
        <w:tc>
          <w:tcPr>
            <w:tcW w:w="1683" w:type="dxa"/>
            <w:shd w:val="clear" w:color="auto" w:fill="FFFFFF" w:themeFill="background1"/>
          </w:tcPr>
          <w:p w14:paraId="5CA262D1" w14:textId="77777777" w:rsidR="004961C6" w:rsidRPr="00BE4733" w:rsidRDefault="004961C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tc>
      </w:tr>
      <w:tr w:rsidR="004961C6" w:rsidRPr="00BE4733" w14:paraId="477C61F4" w14:textId="77777777" w:rsidTr="00F44868">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1851" w:type="dxa"/>
            <w:shd w:val="clear" w:color="auto" w:fill="FFFFFF" w:themeFill="background1"/>
          </w:tcPr>
          <w:p w14:paraId="522D0A79" w14:textId="0819BE58" w:rsidR="004961C6" w:rsidRPr="00BE4733" w:rsidRDefault="004961C6" w:rsidP="000604EE">
            <w:pPr>
              <w:contextualSpacing/>
              <w:rPr>
                <w:rFonts w:ascii="Calibri" w:hAnsi="Calibri" w:cs="Calibri"/>
                <w:b w:val="0"/>
                <w:bCs w:val="0"/>
                <w:color w:val="000000" w:themeColor="text1"/>
              </w:rPr>
            </w:pPr>
            <w:r w:rsidRPr="00BE4733">
              <w:rPr>
                <w:rFonts w:ascii="Calibri" w:hAnsi="Calibri" w:cs="Calibri"/>
                <w:b w:val="0"/>
                <w:bCs w:val="0"/>
                <w:color w:val="000000" w:themeColor="text1"/>
              </w:rPr>
              <w:t>RRH</w:t>
            </w:r>
          </w:p>
        </w:tc>
        <w:tc>
          <w:tcPr>
            <w:tcW w:w="1588" w:type="dxa"/>
            <w:shd w:val="clear" w:color="auto" w:fill="FFFFFF" w:themeFill="background1"/>
          </w:tcPr>
          <w:p w14:paraId="24F79CE6" w14:textId="3FD452CB"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CoC</w:t>
            </w:r>
          </w:p>
        </w:tc>
        <w:tc>
          <w:tcPr>
            <w:tcW w:w="1042" w:type="dxa"/>
            <w:shd w:val="clear" w:color="auto" w:fill="FFFFFF" w:themeFill="background1"/>
          </w:tcPr>
          <w:p w14:paraId="4A4AEE55" w14:textId="436CA525"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X</w:t>
            </w:r>
          </w:p>
        </w:tc>
        <w:tc>
          <w:tcPr>
            <w:tcW w:w="1042" w:type="dxa"/>
            <w:shd w:val="clear" w:color="auto" w:fill="FFFFFF" w:themeFill="background1"/>
          </w:tcPr>
          <w:p w14:paraId="37A6175C" w14:textId="3A084738"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X</w:t>
            </w:r>
          </w:p>
        </w:tc>
        <w:tc>
          <w:tcPr>
            <w:tcW w:w="1042" w:type="dxa"/>
            <w:shd w:val="clear" w:color="auto" w:fill="FFFFFF" w:themeFill="background1"/>
          </w:tcPr>
          <w:p w14:paraId="79DAEE26" w14:textId="6AA113D2"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X</w:t>
            </w:r>
          </w:p>
        </w:tc>
        <w:tc>
          <w:tcPr>
            <w:tcW w:w="1858" w:type="dxa"/>
            <w:shd w:val="clear" w:color="auto" w:fill="FFFFFF" w:themeFill="background1"/>
          </w:tcPr>
          <w:p w14:paraId="5EEF1DD1" w14:textId="5A0E0E48" w:rsidR="004961C6" w:rsidRPr="00BE4733" w:rsidRDefault="001B04C0"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X*</w:t>
            </w:r>
          </w:p>
        </w:tc>
        <w:tc>
          <w:tcPr>
            <w:tcW w:w="1683" w:type="dxa"/>
            <w:shd w:val="clear" w:color="auto" w:fill="FFFFFF" w:themeFill="background1"/>
          </w:tcPr>
          <w:p w14:paraId="3E3D0F2F" w14:textId="77777777"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tc>
      </w:tr>
      <w:tr w:rsidR="004961C6" w:rsidRPr="00BE4733" w14:paraId="669E6F2A" w14:textId="77777777" w:rsidTr="00F44868">
        <w:trPr>
          <w:trHeight w:val="445"/>
          <w:jc w:val="center"/>
        </w:trPr>
        <w:tc>
          <w:tcPr>
            <w:cnfStyle w:val="001000000000" w:firstRow="0" w:lastRow="0" w:firstColumn="1" w:lastColumn="0" w:oddVBand="0" w:evenVBand="0" w:oddHBand="0" w:evenHBand="0" w:firstRowFirstColumn="0" w:firstRowLastColumn="0" w:lastRowFirstColumn="0" w:lastRowLastColumn="0"/>
            <w:tcW w:w="1851" w:type="dxa"/>
            <w:shd w:val="clear" w:color="auto" w:fill="FFFFFF" w:themeFill="background1"/>
          </w:tcPr>
          <w:p w14:paraId="44C41E20" w14:textId="77777777" w:rsidR="004961C6" w:rsidRPr="00BE4733" w:rsidRDefault="004961C6" w:rsidP="000604EE">
            <w:pPr>
              <w:contextualSpacing/>
              <w:rPr>
                <w:rFonts w:ascii="Calibri" w:hAnsi="Calibri" w:cs="Calibri"/>
                <w:b w:val="0"/>
                <w:bCs w:val="0"/>
                <w:color w:val="000000" w:themeColor="text1"/>
              </w:rPr>
            </w:pPr>
            <w:r w:rsidRPr="00BE4733">
              <w:rPr>
                <w:rFonts w:ascii="Calibri" w:hAnsi="Calibri" w:cs="Calibri"/>
                <w:b w:val="0"/>
                <w:bCs w:val="0"/>
                <w:color w:val="000000" w:themeColor="text1"/>
              </w:rPr>
              <w:t>TH</w:t>
            </w:r>
          </w:p>
        </w:tc>
        <w:tc>
          <w:tcPr>
            <w:tcW w:w="1588" w:type="dxa"/>
            <w:shd w:val="clear" w:color="auto" w:fill="FFFFFF" w:themeFill="background1"/>
          </w:tcPr>
          <w:p w14:paraId="32C48698" w14:textId="77777777" w:rsidR="004961C6" w:rsidRPr="00BE4733" w:rsidRDefault="004961C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CoC</w:t>
            </w:r>
          </w:p>
        </w:tc>
        <w:tc>
          <w:tcPr>
            <w:tcW w:w="1042" w:type="dxa"/>
            <w:shd w:val="clear" w:color="auto" w:fill="FFFFFF" w:themeFill="background1"/>
          </w:tcPr>
          <w:p w14:paraId="386C4E4F" w14:textId="77777777" w:rsidR="004961C6" w:rsidRPr="00BE4733" w:rsidRDefault="004961C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X</w:t>
            </w:r>
          </w:p>
        </w:tc>
        <w:tc>
          <w:tcPr>
            <w:tcW w:w="1042" w:type="dxa"/>
            <w:shd w:val="clear" w:color="auto" w:fill="FFFFFF" w:themeFill="background1"/>
          </w:tcPr>
          <w:p w14:paraId="2E05056A" w14:textId="77777777" w:rsidR="004961C6" w:rsidRPr="00BE4733" w:rsidRDefault="004961C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X</w:t>
            </w:r>
          </w:p>
        </w:tc>
        <w:tc>
          <w:tcPr>
            <w:tcW w:w="1042" w:type="dxa"/>
            <w:shd w:val="clear" w:color="auto" w:fill="FFFFFF" w:themeFill="background1"/>
          </w:tcPr>
          <w:p w14:paraId="11AD8FBF" w14:textId="77777777" w:rsidR="004961C6" w:rsidRPr="00BE4733" w:rsidRDefault="004961C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X</w:t>
            </w:r>
          </w:p>
        </w:tc>
        <w:tc>
          <w:tcPr>
            <w:tcW w:w="1858" w:type="dxa"/>
            <w:shd w:val="clear" w:color="auto" w:fill="FFFFFF" w:themeFill="background1"/>
          </w:tcPr>
          <w:p w14:paraId="4A705CDD" w14:textId="77777777" w:rsidR="004961C6" w:rsidRPr="00BE4733" w:rsidRDefault="004961C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tc>
        <w:tc>
          <w:tcPr>
            <w:tcW w:w="1683" w:type="dxa"/>
            <w:shd w:val="clear" w:color="auto" w:fill="FFFFFF" w:themeFill="background1"/>
          </w:tcPr>
          <w:p w14:paraId="5AE38CD3" w14:textId="77777777" w:rsidR="004961C6" w:rsidRPr="00BE4733" w:rsidRDefault="004961C6"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tc>
      </w:tr>
      <w:tr w:rsidR="004961C6" w:rsidRPr="00BE4733" w14:paraId="3DC35FED" w14:textId="77777777" w:rsidTr="00F44868">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1851" w:type="dxa"/>
            <w:shd w:val="clear" w:color="auto" w:fill="FFFFFF" w:themeFill="background1"/>
          </w:tcPr>
          <w:p w14:paraId="671B8967" w14:textId="77777777" w:rsidR="004961C6" w:rsidRPr="00BE4733" w:rsidRDefault="004961C6" w:rsidP="000604EE">
            <w:pPr>
              <w:contextualSpacing/>
              <w:rPr>
                <w:rFonts w:ascii="Calibri" w:hAnsi="Calibri" w:cs="Calibri"/>
                <w:b w:val="0"/>
                <w:bCs w:val="0"/>
                <w:color w:val="000000" w:themeColor="text1"/>
              </w:rPr>
            </w:pPr>
            <w:r w:rsidRPr="00BE4733">
              <w:rPr>
                <w:rFonts w:ascii="Calibri" w:hAnsi="Calibri" w:cs="Calibri"/>
                <w:b w:val="0"/>
                <w:bCs w:val="0"/>
                <w:color w:val="000000" w:themeColor="text1"/>
              </w:rPr>
              <w:t>PSH</w:t>
            </w:r>
          </w:p>
        </w:tc>
        <w:tc>
          <w:tcPr>
            <w:tcW w:w="1588" w:type="dxa"/>
            <w:shd w:val="clear" w:color="auto" w:fill="FFFFFF" w:themeFill="background1"/>
          </w:tcPr>
          <w:p w14:paraId="26732AE2" w14:textId="77777777"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CoC</w:t>
            </w:r>
          </w:p>
        </w:tc>
        <w:tc>
          <w:tcPr>
            <w:tcW w:w="1042" w:type="dxa"/>
            <w:shd w:val="clear" w:color="auto" w:fill="FFFFFF" w:themeFill="background1"/>
          </w:tcPr>
          <w:p w14:paraId="2B40DA3F" w14:textId="77777777"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X</w:t>
            </w:r>
          </w:p>
        </w:tc>
        <w:tc>
          <w:tcPr>
            <w:tcW w:w="1042" w:type="dxa"/>
            <w:shd w:val="clear" w:color="auto" w:fill="FFFFFF" w:themeFill="background1"/>
          </w:tcPr>
          <w:p w14:paraId="72017AED" w14:textId="77777777"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tc>
        <w:tc>
          <w:tcPr>
            <w:tcW w:w="1042" w:type="dxa"/>
            <w:shd w:val="clear" w:color="auto" w:fill="FFFFFF" w:themeFill="background1"/>
          </w:tcPr>
          <w:p w14:paraId="3DD5C059" w14:textId="77777777"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tc>
        <w:tc>
          <w:tcPr>
            <w:tcW w:w="1858" w:type="dxa"/>
            <w:shd w:val="clear" w:color="auto" w:fill="FFFFFF" w:themeFill="background1"/>
          </w:tcPr>
          <w:p w14:paraId="4C40DFB0" w14:textId="77777777"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p>
        </w:tc>
        <w:tc>
          <w:tcPr>
            <w:tcW w:w="1683" w:type="dxa"/>
            <w:shd w:val="clear" w:color="auto" w:fill="FFFFFF" w:themeFill="background1"/>
          </w:tcPr>
          <w:p w14:paraId="6E729B79" w14:textId="77777777" w:rsidR="004961C6" w:rsidRPr="00BE4733" w:rsidRDefault="004961C6"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E4733">
              <w:rPr>
                <w:rFonts w:ascii="Calibri" w:hAnsi="Calibri" w:cs="Calibri"/>
                <w:color w:val="000000" w:themeColor="text1"/>
              </w:rPr>
              <w:t>Prioritized</w:t>
            </w:r>
          </w:p>
        </w:tc>
      </w:tr>
    </w:tbl>
    <w:p w14:paraId="0B43E164" w14:textId="00000CD9" w:rsidR="00626800" w:rsidRPr="00BE4733" w:rsidRDefault="00626800" w:rsidP="000604EE">
      <w:pPr>
        <w:contextualSpacing/>
        <w:rPr>
          <w:rFonts w:ascii="Calibri" w:hAnsi="Calibri" w:cs="Calibri"/>
          <w:color w:val="000000" w:themeColor="text1"/>
        </w:rPr>
      </w:pPr>
      <w:r w:rsidRPr="00BE4733">
        <w:rPr>
          <w:rFonts w:ascii="Calibri" w:hAnsi="Calibri" w:cs="Calibri"/>
          <w:color w:val="000000" w:themeColor="text1"/>
        </w:rPr>
        <w:t xml:space="preserve">X = required component </w:t>
      </w:r>
    </w:p>
    <w:p w14:paraId="69777C99" w14:textId="354D0663" w:rsidR="004961C6" w:rsidRPr="00BE4733" w:rsidRDefault="004961C6" w:rsidP="000604EE">
      <w:pPr>
        <w:contextualSpacing/>
        <w:rPr>
          <w:rFonts w:ascii="Calibri" w:hAnsi="Calibri" w:cs="Calibri"/>
          <w:color w:val="000000" w:themeColor="text1"/>
        </w:rPr>
      </w:pPr>
      <w:r w:rsidRPr="00BE4733">
        <w:rPr>
          <w:rFonts w:ascii="Calibri" w:hAnsi="Calibri" w:cs="Calibri"/>
          <w:color w:val="000000" w:themeColor="text1"/>
        </w:rPr>
        <w:t>*</w:t>
      </w:r>
      <w:proofErr w:type="gramStart"/>
      <w:r w:rsidRPr="00BE4733">
        <w:rPr>
          <w:rFonts w:ascii="Calibri" w:hAnsi="Calibri" w:cs="Calibri"/>
          <w:color w:val="000000" w:themeColor="text1"/>
        </w:rPr>
        <w:t>required</w:t>
      </w:r>
      <w:proofErr w:type="gramEnd"/>
      <w:r w:rsidRPr="00BE4733">
        <w:rPr>
          <w:rFonts w:ascii="Calibri" w:hAnsi="Calibri" w:cs="Calibri"/>
          <w:color w:val="000000" w:themeColor="text1"/>
        </w:rPr>
        <w:t xml:space="preserve"> at reassessment, not required at intake</w:t>
      </w:r>
    </w:p>
    <w:p w14:paraId="78227241" w14:textId="77777777" w:rsidR="00442BDB" w:rsidRPr="00BE4733" w:rsidRDefault="00442BDB" w:rsidP="000604EE">
      <w:pPr>
        <w:contextualSpacing/>
        <w:rPr>
          <w:rFonts w:ascii="Calibri" w:hAnsi="Calibri" w:cs="Calibri"/>
          <w:color w:val="000000" w:themeColor="text1"/>
        </w:rPr>
      </w:pPr>
    </w:p>
    <w:p w14:paraId="66FAE48C" w14:textId="48B1A7E1" w:rsidR="00AF17DC" w:rsidRPr="00BE4733" w:rsidRDefault="00AF17DC" w:rsidP="000604EE">
      <w:pPr>
        <w:contextualSpacing/>
        <w:rPr>
          <w:rFonts w:ascii="Calibri" w:hAnsi="Calibri" w:cs="Calibri"/>
          <w:i/>
          <w:iCs/>
          <w:color w:val="000000" w:themeColor="text1"/>
        </w:rPr>
      </w:pPr>
      <w:r w:rsidRPr="00BE4733">
        <w:rPr>
          <w:rFonts w:ascii="Calibri" w:hAnsi="Calibri" w:cs="Calibri"/>
          <w:i/>
          <w:iCs/>
          <w:color w:val="000000" w:themeColor="text1"/>
        </w:rPr>
        <w:t>Category 3 is not included because CSCoC does not currently serve this type of household using</w:t>
      </w:r>
      <w:r w:rsidR="00CE0915" w:rsidRPr="00BE4733">
        <w:rPr>
          <w:rFonts w:ascii="Calibri" w:hAnsi="Calibri" w:cs="Calibri"/>
          <w:i/>
          <w:iCs/>
          <w:color w:val="000000" w:themeColor="text1"/>
        </w:rPr>
        <w:t xml:space="preserve"> existing funding sources</w:t>
      </w:r>
      <w:r w:rsidRPr="00BE4733">
        <w:rPr>
          <w:rFonts w:ascii="Calibri" w:hAnsi="Calibri" w:cs="Calibri"/>
          <w:i/>
          <w:iCs/>
          <w:color w:val="000000" w:themeColor="text1"/>
        </w:rPr>
        <w:t>.</w:t>
      </w:r>
      <w:r w:rsidR="00CE0915" w:rsidRPr="00BE4733">
        <w:rPr>
          <w:rFonts w:ascii="Calibri" w:hAnsi="Calibri" w:cs="Calibri"/>
          <w:i/>
          <w:iCs/>
          <w:color w:val="000000" w:themeColor="text1"/>
        </w:rPr>
        <w:t xml:space="preserve"> Future </w:t>
      </w:r>
      <w:r w:rsidR="00807F91" w:rsidRPr="00BE4733">
        <w:rPr>
          <w:rFonts w:ascii="Calibri" w:hAnsi="Calibri" w:cs="Calibri"/>
          <w:i/>
          <w:iCs/>
          <w:color w:val="000000" w:themeColor="text1"/>
        </w:rPr>
        <w:t xml:space="preserve">state </w:t>
      </w:r>
      <w:r w:rsidR="00CE0915" w:rsidRPr="00BE4733">
        <w:rPr>
          <w:rFonts w:ascii="Calibri" w:hAnsi="Calibri" w:cs="Calibri"/>
          <w:i/>
          <w:iCs/>
          <w:color w:val="000000" w:themeColor="text1"/>
        </w:rPr>
        <w:t xml:space="preserve">and federal grant opportunities may expand the CSCoC’s ability to serve this population. </w:t>
      </w:r>
    </w:p>
    <w:p w14:paraId="32243F53" w14:textId="339E1072" w:rsidR="00CE0915" w:rsidRPr="00BE4733" w:rsidRDefault="00CE0915" w:rsidP="000604EE">
      <w:pPr>
        <w:contextualSpacing/>
        <w:rPr>
          <w:rFonts w:ascii="Calibri" w:hAnsi="Calibri" w:cs="Calibri"/>
          <w:i/>
          <w:iCs/>
          <w:color w:val="000000" w:themeColor="text1"/>
        </w:rPr>
      </w:pPr>
    </w:p>
    <w:p w14:paraId="51E9AF38" w14:textId="25DEA204" w:rsidR="00CE0915" w:rsidRPr="00BE4733" w:rsidRDefault="00CE0915" w:rsidP="000604EE">
      <w:pPr>
        <w:contextualSpacing/>
        <w:rPr>
          <w:rFonts w:ascii="Calibri" w:hAnsi="Calibri" w:cs="Calibri"/>
          <w:i/>
          <w:iCs/>
          <w:color w:val="000000" w:themeColor="text1"/>
        </w:rPr>
      </w:pPr>
      <w:r w:rsidRPr="00BE4733">
        <w:rPr>
          <w:rFonts w:ascii="Calibri" w:hAnsi="Calibri" w:cs="Calibri"/>
          <w:i/>
          <w:iCs/>
          <w:color w:val="000000" w:themeColor="text1"/>
        </w:rPr>
        <w:t xml:space="preserve">For more information about HUD’s </w:t>
      </w:r>
      <w:r w:rsidR="00A95637" w:rsidRPr="00BE4733">
        <w:rPr>
          <w:rFonts w:ascii="Calibri" w:hAnsi="Calibri" w:cs="Calibri"/>
          <w:i/>
          <w:iCs/>
          <w:color w:val="000000" w:themeColor="text1"/>
        </w:rPr>
        <w:t>Categories of Homelessness</w:t>
      </w:r>
      <w:r w:rsidRPr="00BE4733">
        <w:rPr>
          <w:rFonts w:ascii="Calibri" w:hAnsi="Calibri" w:cs="Calibri"/>
          <w:i/>
          <w:iCs/>
          <w:color w:val="000000" w:themeColor="text1"/>
        </w:rPr>
        <w:t xml:space="preserve">, please see </w:t>
      </w:r>
      <w:r w:rsidR="007E6153" w:rsidRPr="00BE4733">
        <w:rPr>
          <w:rFonts w:ascii="Calibri" w:hAnsi="Calibri" w:cs="Calibri"/>
          <w:i/>
          <w:iCs/>
          <w:color w:val="000000" w:themeColor="text1"/>
        </w:rPr>
        <w:t xml:space="preserve">Appendix E </w:t>
      </w:r>
      <w:r w:rsidRPr="00BE4733">
        <w:rPr>
          <w:rFonts w:ascii="Calibri" w:hAnsi="Calibri" w:cs="Calibri"/>
          <w:i/>
          <w:iCs/>
          <w:color w:val="000000" w:themeColor="text1"/>
        </w:rPr>
        <w:t xml:space="preserve">pg. </w:t>
      </w:r>
      <w:r w:rsidR="007E6153" w:rsidRPr="00BE4733">
        <w:rPr>
          <w:rFonts w:ascii="Calibri" w:hAnsi="Calibri" w:cs="Calibri"/>
          <w:i/>
          <w:iCs/>
          <w:color w:val="000000" w:themeColor="text1"/>
        </w:rPr>
        <w:t>46</w:t>
      </w:r>
      <w:r w:rsidRPr="00BE4733">
        <w:rPr>
          <w:rFonts w:ascii="Calibri" w:hAnsi="Calibri" w:cs="Calibri"/>
          <w:i/>
          <w:iCs/>
          <w:color w:val="000000" w:themeColor="text1"/>
        </w:rPr>
        <w:t xml:space="preserve">. </w:t>
      </w:r>
    </w:p>
    <w:p w14:paraId="70825EB5" w14:textId="29E904A2" w:rsidR="00626800" w:rsidRPr="00BE4733" w:rsidRDefault="00626800" w:rsidP="000604EE">
      <w:pPr>
        <w:contextualSpacing/>
        <w:rPr>
          <w:rFonts w:ascii="Calibri" w:hAnsi="Calibri" w:cs="Calibri"/>
          <w:color w:val="000000" w:themeColor="text1"/>
        </w:rPr>
      </w:pPr>
    </w:p>
    <w:p w14:paraId="6B63809C" w14:textId="6349BEA1" w:rsidR="00626800" w:rsidRPr="00BE4733" w:rsidRDefault="00626800" w:rsidP="000604EE">
      <w:pPr>
        <w:contextualSpacing/>
        <w:rPr>
          <w:rFonts w:ascii="Calibri" w:hAnsi="Calibri" w:cs="Calibri"/>
          <w:color w:val="000000" w:themeColor="text1"/>
        </w:rPr>
      </w:pPr>
    </w:p>
    <w:p w14:paraId="1F231E4D" w14:textId="214E3476" w:rsidR="00626800" w:rsidRPr="00BE4733" w:rsidRDefault="00626800" w:rsidP="000604EE">
      <w:pPr>
        <w:contextualSpacing/>
        <w:rPr>
          <w:rFonts w:ascii="Calibri" w:hAnsi="Calibri" w:cs="Calibri"/>
          <w:color w:val="000000" w:themeColor="text1"/>
        </w:rPr>
      </w:pPr>
    </w:p>
    <w:p w14:paraId="503F4717" w14:textId="26972E59" w:rsidR="00626800" w:rsidRPr="00BE4733" w:rsidRDefault="00626800" w:rsidP="000604EE">
      <w:pPr>
        <w:contextualSpacing/>
        <w:rPr>
          <w:rFonts w:ascii="Calibri" w:hAnsi="Calibri" w:cs="Calibri"/>
          <w:color w:val="000000" w:themeColor="text1"/>
        </w:rPr>
      </w:pPr>
    </w:p>
    <w:p w14:paraId="10D9E2E1" w14:textId="11E17D5A" w:rsidR="00626800" w:rsidRPr="00BE4733" w:rsidRDefault="00626800" w:rsidP="000604EE">
      <w:pPr>
        <w:contextualSpacing/>
        <w:rPr>
          <w:rFonts w:ascii="Calibri" w:hAnsi="Calibri" w:cs="Calibri"/>
          <w:color w:val="000000" w:themeColor="text1"/>
        </w:rPr>
      </w:pPr>
    </w:p>
    <w:p w14:paraId="12928E3C" w14:textId="1B67518A" w:rsidR="00626800" w:rsidRPr="00BE4733" w:rsidRDefault="00626800" w:rsidP="000604EE">
      <w:pPr>
        <w:contextualSpacing/>
        <w:rPr>
          <w:rFonts w:ascii="Calibri" w:hAnsi="Calibri" w:cs="Calibri"/>
          <w:color w:val="000000" w:themeColor="text1"/>
        </w:rPr>
      </w:pPr>
    </w:p>
    <w:p w14:paraId="4805D997" w14:textId="6846B9EB" w:rsidR="001B04C0" w:rsidRPr="00BE4733" w:rsidRDefault="001B04C0" w:rsidP="000604EE">
      <w:pPr>
        <w:contextualSpacing/>
        <w:rPr>
          <w:rFonts w:ascii="Calibri" w:hAnsi="Calibri" w:cs="Calibri"/>
          <w:color w:val="000000" w:themeColor="text1"/>
        </w:rPr>
      </w:pPr>
      <w:r w:rsidRPr="00BE4733">
        <w:rPr>
          <w:rFonts w:ascii="Calibri" w:hAnsi="Calibri" w:cs="Calibri"/>
          <w:color w:val="000000" w:themeColor="text1"/>
        </w:rPr>
        <w:br w:type="page"/>
      </w:r>
    </w:p>
    <w:p w14:paraId="1E0AA5CA" w14:textId="401DED2A" w:rsidR="000C7092" w:rsidRPr="0061434B" w:rsidRDefault="00481FAF" w:rsidP="00CB14E5">
      <w:pPr>
        <w:pStyle w:val="Heading2"/>
        <w:numPr>
          <w:ilvl w:val="3"/>
          <w:numId w:val="105"/>
        </w:numPr>
        <w:ind w:left="360"/>
        <w:rPr>
          <w:color w:val="0070C0"/>
        </w:rPr>
      </w:pPr>
      <w:bookmarkStart w:id="200" w:name="_Toc124255107"/>
      <w:r w:rsidRPr="0061434B">
        <w:rPr>
          <w:color w:val="0070C0"/>
        </w:rPr>
        <w:lastRenderedPageBreak/>
        <w:t>Documentation for Chronic Homelessness</w:t>
      </w:r>
      <w:bookmarkEnd w:id="200"/>
    </w:p>
    <w:p w14:paraId="1658BFF7" w14:textId="464557C5" w:rsidR="000C7092" w:rsidRPr="00BE4733" w:rsidRDefault="000C7092" w:rsidP="000604EE">
      <w:pPr>
        <w:contextualSpacing/>
        <w:rPr>
          <w:rFonts w:ascii="Calibri" w:hAnsi="Calibri" w:cs="Calibri"/>
          <w:color w:val="000000" w:themeColor="text1"/>
        </w:rPr>
      </w:pPr>
      <w:r w:rsidRPr="00BE4733">
        <w:rPr>
          <w:rFonts w:ascii="Calibri" w:hAnsi="Calibri" w:cs="Calibri"/>
          <w:color w:val="000000" w:themeColor="text1"/>
        </w:rPr>
        <w:t xml:space="preserve">In order to establish that an individual is chronically homeless, a </w:t>
      </w:r>
      <w:r w:rsidR="003934A4" w:rsidRPr="00BE4733">
        <w:rPr>
          <w:rFonts w:ascii="Calibri" w:hAnsi="Calibri" w:cs="Calibri"/>
          <w:color w:val="000000" w:themeColor="text1"/>
        </w:rPr>
        <w:t>service provider</w:t>
      </w:r>
      <w:r w:rsidRPr="00BE4733">
        <w:rPr>
          <w:rFonts w:ascii="Calibri" w:hAnsi="Calibri" w:cs="Calibri"/>
          <w:color w:val="000000" w:themeColor="text1"/>
        </w:rPr>
        <w:t xml:space="preserve"> must produce documentation for (1) the history of homelessness, (2) proof of disability, and (3) proof of current homelessness. The following list provides the range of acceptable forms of documentation for each category, in the order to HUD’s preference. </w:t>
      </w:r>
    </w:p>
    <w:p w14:paraId="217E45C5" w14:textId="77777777" w:rsidR="00E13D8B" w:rsidRPr="00BE4733" w:rsidRDefault="00E13D8B" w:rsidP="000604EE">
      <w:pPr>
        <w:contextualSpacing/>
        <w:rPr>
          <w:rFonts w:ascii="Calibri" w:hAnsi="Calibri" w:cs="Calibri"/>
          <w:color w:val="000000" w:themeColor="text1"/>
        </w:rPr>
      </w:pPr>
    </w:p>
    <w:p w14:paraId="62F7F567" w14:textId="77777777" w:rsidR="00A76818" w:rsidRPr="00BE4733" w:rsidRDefault="000C7092">
      <w:pPr>
        <w:pStyle w:val="ListParagraph"/>
        <w:numPr>
          <w:ilvl w:val="0"/>
          <w:numId w:val="39"/>
        </w:numPr>
        <w:rPr>
          <w:rFonts w:ascii="Calibri" w:hAnsi="Calibri" w:cs="Calibri"/>
          <w:color w:val="000000" w:themeColor="text1"/>
        </w:rPr>
      </w:pPr>
      <w:r w:rsidRPr="00BE4733">
        <w:rPr>
          <w:rFonts w:ascii="Calibri" w:hAnsi="Calibri"/>
          <w:b/>
          <w:bCs/>
          <w:color w:val="000000" w:themeColor="text1"/>
        </w:rPr>
        <w:t>History of Homelessness</w:t>
      </w:r>
      <w:r w:rsidRPr="00BE4733">
        <w:rPr>
          <w:rFonts w:ascii="Calibri" w:hAnsi="Calibri" w:cs="Calibri"/>
          <w:color w:val="000000" w:themeColor="text1"/>
        </w:rPr>
        <w:t xml:space="preserve"> </w:t>
      </w:r>
    </w:p>
    <w:p w14:paraId="65C91FD3" w14:textId="328CE9F4" w:rsidR="000C7092" w:rsidRPr="00BE4733" w:rsidRDefault="000C7092" w:rsidP="00A76818">
      <w:pPr>
        <w:pStyle w:val="ListParagraph"/>
        <w:ind w:left="1080"/>
        <w:rPr>
          <w:rFonts w:ascii="Calibri" w:hAnsi="Calibri" w:cs="Calibri"/>
          <w:color w:val="000000" w:themeColor="text1"/>
        </w:rPr>
      </w:pPr>
      <w:r w:rsidRPr="00BE4733">
        <w:rPr>
          <w:rFonts w:ascii="Calibri" w:hAnsi="Calibri" w:cs="Calibri"/>
          <w:color w:val="000000" w:themeColor="text1"/>
        </w:rPr>
        <w:t xml:space="preserve">For at least one day of each 30 days of homelessness, staff must document the location of homelessness and supporting documentation: </w:t>
      </w:r>
    </w:p>
    <w:p w14:paraId="6FD6CB39" w14:textId="77777777" w:rsidR="000C7092" w:rsidRPr="00BE4733" w:rsidRDefault="000C7092">
      <w:pPr>
        <w:pStyle w:val="ListParagraph"/>
        <w:numPr>
          <w:ilvl w:val="1"/>
          <w:numId w:val="39"/>
        </w:numPr>
        <w:rPr>
          <w:rFonts w:ascii="Calibri" w:hAnsi="Calibri" w:cs="Calibri"/>
          <w:color w:val="000000" w:themeColor="text1"/>
        </w:rPr>
      </w:pPr>
      <w:r w:rsidRPr="00BE4733">
        <w:rPr>
          <w:rFonts w:ascii="Calibri" w:hAnsi="Calibri" w:cs="Calibri"/>
          <w:color w:val="000000" w:themeColor="text1"/>
        </w:rPr>
        <w:t xml:space="preserve">Locations </w:t>
      </w:r>
    </w:p>
    <w:p w14:paraId="1E3F474A" w14:textId="77777777" w:rsidR="000C7092" w:rsidRPr="00BE4733" w:rsidRDefault="000C7092">
      <w:pPr>
        <w:pStyle w:val="ListParagraph"/>
        <w:numPr>
          <w:ilvl w:val="2"/>
          <w:numId w:val="39"/>
        </w:numPr>
        <w:rPr>
          <w:rFonts w:ascii="Calibri" w:hAnsi="Calibri" w:cs="Calibri"/>
          <w:color w:val="000000" w:themeColor="text1"/>
        </w:rPr>
      </w:pPr>
      <w:r w:rsidRPr="00BE4733">
        <w:rPr>
          <w:rFonts w:ascii="Calibri" w:hAnsi="Calibri" w:cs="Calibri"/>
          <w:color w:val="000000" w:themeColor="text1"/>
        </w:rPr>
        <w:t xml:space="preserve">Streets </w:t>
      </w:r>
    </w:p>
    <w:p w14:paraId="7C9EA5D7" w14:textId="77777777" w:rsidR="000C7092" w:rsidRPr="00BE4733" w:rsidRDefault="000C7092">
      <w:pPr>
        <w:pStyle w:val="ListParagraph"/>
        <w:numPr>
          <w:ilvl w:val="2"/>
          <w:numId w:val="39"/>
        </w:numPr>
        <w:rPr>
          <w:rFonts w:ascii="Calibri" w:hAnsi="Calibri" w:cs="Calibri"/>
          <w:color w:val="000000" w:themeColor="text1"/>
        </w:rPr>
      </w:pPr>
      <w:r w:rsidRPr="00BE4733">
        <w:rPr>
          <w:rFonts w:ascii="Calibri" w:hAnsi="Calibri" w:cs="Calibri"/>
          <w:color w:val="000000" w:themeColor="text1"/>
        </w:rPr>
        <w:t xml:space="preserve">Emergency Shelter </w:t>
      </w:r>
    </w:p>
    <w:p w14:paraId="6D4D1FA4" w14:textId="77777777" w:rsidR="000C7092" w:rsidRPr="00BE4733" w:rsidRDefault="000C7092">
      <w:pPr>
        <w:pStyle w:val="ListParagraph"/>
        <w:numPr>
          <w:ilvl w:val="2"/>
          <w:numId w:val="39"/>
        </w:numPr>
        <w:rPr>
          <w:rFonts w:ascii="Calibri" w:hAnsi="Calibri" w:cs="Calibri"/>
          <w:color w:val="000000" w:themeColor="text1"/>
        </w:rPr>
      </w:pPr>
      <w:r w:rsidRPr="00BE4733">
        <w:rPr>
          <w:rFonts w:ascii="Calibri" w:hAnsi="Calibri" w:cs="Calibri"/>
          <w:color w:val="000000" w:themeColor="text1"/>
        </w:rPr>
        <w:t xml:space="preserve">Safe Haven </w:t>
      </w:r>
    </w:p>
    <w:p w14:paraId="42C3BE34" w14:textId="77777777" w:rsidR="000C7092" w:rsidRPr="00BE4733" w:rsidRDefault="000C7092">
      <w:pPr>
        <w:pStyle w:val="ListParagraph"/>
        <w:numPr>
          <w:ilvl w:val="2"/>
          <w:numId w:val="39"/>
        </w:numPr>
        <w:rPr>
          <w:rFonts w:ascii="Calibri" w:hAnsi="Calibri" w:cs="Calibri"/>
          <w:color w:val="000000" w:themeColor="text1"/>
        </w:rPr>
      </w:pPr>
      <w:r w:rsidRPr="00BE4733">
        <w:rPr>
          <w:rFonts w:ascii="Calibri" w:hAnsi="Calibri" w:cs="Calibri"/>
          <w:color w:val="000000" w:themeColor="text1"/>
        </w:rPr>
        <w:t xml:space="preserve">Institution (less than 90 days) </w:t>
      </w:r>
    </w:p>
    <w:p w14:paraId="6A64B2D2" w14:textId="77777777" w:rsidR="000C7092" w:rsidRPr="00BE4733" w:rsidRDefault="000C7092">
      <w:pPr>
        <w:pStyle w:val="ListParagraph"/>
        <w:numPr>
          <w:ilvl w:val="1"/>
          <w:numId w:val="39"/>
        </w:numPr>
        <w:rPr>
          <w:rFonts w:ascii="Calibri" w:hAnsi="Calibri" w:cs="Calibri"/>
          <w:color w:val="000000" w:themeColor="text1"/>
        </w:rPr>
      </w:pPr>
      <w:r w:rsidRPr="00BE4733">
        <w:rPr>
          <w:rFonts w:ascii="Calibri" w:hAnsi="Calibri" w:cs="Calibri"/>
          <w:color w:val="000000" w:themeColor="text1"/>
        </w:rPr>
        <w:t xml:space="preserve">Supporting documentation can include (in order of HUD preference): </w:t>
      </w:r>
    </w:p>
    <w:p w14:paraId="342D0BA4" w14:textId="77777777" w:rsidR="000C7092" w:rsidRPr="00BE4733" w:rsidRDefault="000C7092">
      <w:pPr>
        <w:pStyle w:val="ListParagraph"/>
        <w:numPr>
          <w:ilvl w:val="2"/>
          <w:numId w:val="39"/>
        </w:numPr>
        <w:rPr>
          <w:rFonts w:ascii="Calibri" w:hAnsi="Calibri" w:cs="Calibri"/>
          <w:color w:val="000000" w:themeColor="text1"/>
        </w:rPr>
      </w:pPr>
      <w:r w:rsidRPr="00BE4733">
        <w:rPr>
          <w:rFonts w:ascii="Calibri" w:hAnsi="Calibri" w:cs="Calibri"/>
          <w:color w:val="000000" w:themeColor="text1"/>
        </w:rPr>
        <w:t>HMIS</w:t>
      </w:r>
    </w:p>
    <w:p w14:paraId="3F2454E4" w14:textId="77777777" w:rsidR="000C7092" w:rsidRPr="00BE4733" w:rsidRDefault="000C7092">
      <w:pPr>
        <w:pStyle w:val="ListParagraph"/>
        <w:numPr>
          <w:ilvl w:val="2"/>
          <w:numId w:val="39"/>
        </w:numPr>
        <w:rPr>
          <w:rFonts w:ascii="Calibri" w:hAnsi="Calibri" w:cs="Calibri"/>
          <w:color w:val="000000" w:themeColor="text1"/>
        </w:rPr>
      </w:pPr>
      <w:r w:rsidRPr="00BE4733">
        <w:rPr>
          <w:rFonts w:ascii="Calibri" w:hAnsi="Calibri" w:cs="Calibri"/>
          <w:color w:val="000000" w:themeColor="text1"/>
        </w:rPr>
        <w:t xml:space="preserve">Comparable Database </w:t>
      </w:r>
    </w:p>
    <w:p w14:paraId="6FD97F26" w14:textId="77777777" w:rsidR="000C7092" w:rsidRPr="00BE4733" w:rsidRDefault="000C7092">
      <w:pPr>
        <w:pStyle w:val="ListParagraph"/>
        <w:numPr>
          <w:ilvl w:val="2"/>
          <w:numId w:val="39"/>
        </w:numPr>
        <w:rPr>
          <w:rFonts w:ascii="Calibri" w:hAnsi="Calibri" w:cs="Calibri"/>
          <w:color w:val="000000" w:themeColor="text1"/>
        </w:rPr>
      </w:pPr>
      <w:r w:rsidRPr="00BE4733">
        <w:rPr>
          <w:rFonts w:ascii="Calibri" w:hAnsi="Calibri" w:cs="Calibri"/>
          <w:color w:val="000000" w:themeColor="text1"/>
        </w:rPr>
        <w:t xml:space="preserve">Observation by Outreach </w:t>
      </w:r>
    </w:p>
    <w:p w14:paraId="05EFCA39" w14:textId="77777777" w:rsidR="000C7092" w:rsidRPr="00BE4733" w:rsidRDefault="000C7092">
      <w:pPr>
        <w:pStyle w:val="ListParagraph"/>
        <w:numPr>
          <w:ilvl w:val="2"/>
          <w:numId w:val="39"/>
        </w:numPr>
        <w:rPr>
          <w:rFonts w:ascii="Calibri" w:hAnsi="Calibri" w:cs="Calibri"/>
          <w:color w:val="000000" w:themeColor="text1"/>
        </w:rPr>
      </w:pPr>
      <w:r w:rsidRPr="00BE4733">
        <w:rPr>
          <w:rFonts w:ascii="Calibri" w:hAnsi="Calibri" w:cs="Calibri"/>
          <w:color w:val="000000" w:themeColor="text1"/>
        </w:rPr>
        <w:t xml:space="preserve">Discharge Paperwork </w:t>
      </w:r>
    </w:p>
    <w:p w14:paraId="5B2D9218" w14:textId="77777777" w:rsidR="000C7092" w:rsidRPr="00BE4733" w:rsidRDefault="000C7092">
      <w:pPr>
        <w:pStyle w:val="ListParagraph"/>
        <w:numPr>
          <w:ilvl w:val="2"/>
          <w:numId w:val="39"/>
        </w:numPr>
        <w:rPr>
          <w:rFonts w:ascii="Calibri" w:hAnsi="Calibri" w:cs="Calibri"/>
          <w:color w:val="000000" w:themeColor="text1"/>
        </w:rPr>
      </w:pPr>
      <w:r w:rsidRPr="00BE4733">
        <w:rPr>
          <w:rFonts w:ascii="Calibri" w:hAnsi="Calibri" w:cs="Calibri"/>
          <w:color w:val="000000" w:themeColor="text1"/>
        </w:rPr>
        <w:t xml:space="preserve">Referral </w:t>
      </w:r>
    </w:p>
    <w:p w14:paraId="7E4A950E" w14:textId="77777777" w:rsidR="000C7092" w:rsidRPr="00BE4733" w:rsidRDefault="000C7092">
      <w:pPr>
        <w:pStyle w:val="ListParagraph"/>
        <w:numPr>
          <w:ilvl w:val="2"/>
          <w:numId w:val="39"/>
        </w:numPr>
        <w:rPr>
          <w:rFonts w:ascii="Calibri" w:hAnsi="Calibri" w:cs="Calibri"/>
          <w:color w:val="000000" w:themeColor="text1"/>
        </w:rPr>
      </w:pPr>
      <w:r w:rsidRPr="00BE4733">
        <w:rPr>
          <w:rFonts w:ascii="Calibri" w:hAnsi="Calibri" w:cs="Calibri"/>
          <w:color w:val="000000" w:themeColor="text1"/>
        </w:rPr>
        <w:t xml:space="preserve">Self-Certification </w:t>
      </w:r>
    </w:p>
    <w:p w14:paraId="01E64D3A" w14:textId="77777777" w:rsidR="003934A4" w:rsidRPr="00BE4733" w:rsidRDefault="000C7092">
      <w:pPr>
        <w:pStyle w:val="ListParagraph"/>
        <w:numPr>
          <w:ilvl w:val="3"/>
          <w:numId w:val="39"/>
        </w:numPr>
        <w:rPr>
          <w:rFonts w:ascii="Calibri" w:hAnsi="Calibri" w:cs="Calibri"/>
          <w:color w:val="000000" w:themeColor="text1"/>
        </w:rPr>
      </w:pPr>
      <w:r w:rsidRPr="00BE4733">
        <w:rPr>
          <w:rFonts w:ascii="Calibri" w:hAnsi="Calibri" w:cs="Calibri"/>
          <w:color w:val="000000" w:themeColor="text1"/>
        </w:rPr>
        <w:t>Must include staff documentation of situation AND documentation of steps to obtain evidence</w:t>
      </w:r>
    </w:p>
    <w:p w14:paraId="11E82E7A" w14:textId="1A747CD9" w:rsidR="000C7092" w:rsidRPr="00BE4733" w:rsidRDefault="000C7092">
      <w:pPr>
        <w:pStyle w:val="ListParagraph"/>
        <w:numPr>
          <w:ilvl w:val="2"/>
          <w:numId w:val="39"/>
        </w:numPr>
        <w:rPr>
          <w:rFonts w:ascii="Calibri" w:hAnsi="Calibri" w:cs="Calibri"/>
          <w:color w:val="000000" w:themeColor="text1"/>
        </w:rPr>
      </w:pPr>
      <w:r w:rsidRPr="00BE4733">
        <w:rPr>
          <w:rFonts w:ascii="Calibri" w:hAnsi="Calibri"/>
          <w:color w:val="000000" w:themeColor="text1"/>
        </w:rPr>
        <w:t>Please be advised that if at least 75% of the households assisted in a project during an operating year include some months supported by self-certification, no more than 3 months can be self-certified per client. Please check with you project administrator to ensure your project has not exceeded its self-certification cap.</w:t>
      </w:r>
    </w:p>
    <w:p w14:paraId="134BB492" w14:textId="55E4D365" w:rsidR="000C7092" w:rsidRPr="00BE4733" w:rsidRDefault="000C7092">
      <w:pPr>
        <w:pStyle w:val="ListParagraph"/>
        <w:numPr>
          <w:ilvl w:val="1"/>
          <w:numId w:val="39"/>
        </w:numPr>
        <w:rPr>
          <w:rFonts w:ascii="Calibri" w:hAnsi="Calibri" w:cs="Calibri"/>
          <w:color w:val="000000" w:themeColor="text1"/>
        </w:rPr>
      </w:pPr>
      <w:r w:rsidRPr="00BE4733">
        <w:rPr>
          <w:rFonts w:ascii="Calibri" w:hAnsi="Calibri" w:cs="Calibri"/>
          <w:color w:val="000000" w:themeColor="text1"/>
        </w:rPr>
        <w:t xml:space="preserve">Staff must </w:t>
      </w:r>
      <w:r w:rsidR="003934A4" w:rsidRPr="00BE4733">
        <w:rPr>
          <w:rFonts w:ascii="Calibri" w:hAnsi="Calibri" w:cs="Calibri"/>
          <w:color w:val="000000" w:themeColor="text1"/>
        </w:rPr>
        <w:t xml:space="preserve">record </w:t>
      </w:r>
      <w:r w:rsidRPr="00BE4733">
        <w:rPr>
          <w:rFonts w:ascii="Calibri" w:hAnsi="Calibri" w:cs="Calibri"/>
          <w:color w:val="000000" w:themeColor="text1"/>
        </w:rPr>
        <w:t xml:space="preserve">the month(s) and years of each break, if applicable. </w:t>
      </w:r>
    </w:p>
    <w:p w14:paraId="468EB849" w14:textId="7909C2AE" w:rsidR="003934A4" w:rsidRPr="00BE4733" w:rsidRDefault="003934A4">
      <w:pPr>
        <w:pStyle w:val="ListParagraph"/>
        <w:numPr>
          <w:ilvl w:val="2"/>
          <w:numId w:val="39"/>
        </w:numPr>
        <w:rPr>
          <w:rFonts w:ascii="Calibri" w:hAnsi="Calibri" w:cs="Calibri"/>
          <w:color w:val="000000" w:themeColor="text1"/>
        </w:rPr>
      </w:pPr>
      <w:r w:rsidRPr="00BE4733">
        <w:rPr>
          <w:rFonts w:ascii="Calibri" w:hAnsi="Calibri" w:cs="Calibri"/>
          <w:color w:val="000000" w:themeColor="text1"/>
        </w:rPr>
        <w:t xml:space="preserve">Uniquely, breaks may be documented fully based on self-report from the individual seeking assistance. </w:t>
      </w:r>
    </w:p>
    <w:p w14:paraId="067E7F68" w14:textId="77777777" w:rsidR="00A76818" w:rsidRPr="00BE4733" w:rsidRDefault="00A76818" w:rsidP="00A76818">
      <w:pPr>
        <w:pStyle w:val="ListParagraph"/>
        <w:ind w:left="2520"/>
        <w:rPr>
          <w:rFonts w:ascii="Calibri" w:hAnsi="Calibri" w:cs="Calibri"/>
          <w:color w:val="000000" w:themeColor="text1"/>
        </w:rPr>
      </w:pPr>
    </w:p>
    <w:p w14:paraId="5A5B0BFF" w14:textId="77777777" w:rsidR="000C7092" w:rsidRPr="00BE4733" w:rsidRDefault="000C7092">
      <w:pPr>
        <w:pStyle w:val="ListParagraph"/>
        <w:numPr>
          <w:ilvl w:val="0"/>
          <w:numId w:val="39"/>
        </w:numPr>
        <w:rPr>
          <w:rFonts w:ascii="Calibri" w:hAnsi="Calibri"/>
          <w:b/>
          <w:bCs/>
          <w:color w:val="000000" w:themeColor="text1"/>
        </w:rPr>
      </w:pPr>
      <w:r w:rsidRPr="00BE4733">
        <w:rPr>
          <w:rFonts w:ascii="Calibri" w:hAnsi="Calibri"/>
          <w:b/>
          <w:bCs/>
          <w:color w:val="000000" w:themeColor="text1"/>
        </w:rPr>
        <w:t xml:space="preserve">Proof of Disability </w:t>
      </w:r>
    </w:p>
    <w:p w14:paraId="71E80FFF" w14:textId="77777777" w:rsidR="000C7092" w:rsidRPr="00BE4733" w:rsidRDefault="000C7092">
      <w:pPr>
        <w:pStyle w:val="ListParagraph"/>
        <w:numPr>
          <w:ilvl w:val="1"/>
          <w:numId w:val="39"/>
        </w:numPr>
        <w:rPr>
          <w:rFonts w:ascii="Calibri" w:hAnsi="Calibri" w:cs="Calibri"/>
          <w:color w:val="000000" w:themeColor="text1"/>
        </w:rPr>
      </w:pPr>
      <w:r w:rsidRPr="00BE4733">
        <w:rPr>
          <w:rFonts w:ascii="Calibri" w:hAnsi="Calibri" w:cs="Calibri"/>
          <w:color w:val="000000" w:themeColor="text1"/>
        </w:rPr>
        <w:t xml:space="preserve">Written verification from a professional licensed by the state </w:t>
      </w:r>
    </w:p>
    <w:p w14:paraId="6EBAAC16" w14:textId="77777777" w:rsidR="000C7092" w:rsidRPr="00BE4733" w:rsidRDefault="000C7092">
      <w:pPr>
        <w:pStyle w:val="ListParagraph"/>
        <w:numPr>
          <w:ilvl w:val="1"/>
          <w:numId w:val="39"/>
        </w:numPr>
        <w:rPr>
          <w:rFonts w:ascii="Calibri" w:hAnsi="Calibri" w:cs="Calibri"/>
          <w:color w:val="000000" w:themeColor="text1"/>
        </w:rPr>
      </w:pPr>
      <w:r w:rsidRPr="00BE4733">
        <w:rPr>
          <w:rFonts w:ascii="Calibri" w:hAnsi="Calibri" w:cs="Calibri"/>
          <w:color w:val="000000" w:themeColor="text1"/>
        </w:rPr>
        <w:t xml:space="preserve">Written verification from the Social Security Administration </w:t>
      </w:r>
    </w:p>
    <w:p w14:paraId="0A68AAFA" w14:textId="77777777" w:rsidR="000C7092" w:rsidRPr="00BE4733" w:rsidRDefault="000C7092">
      <w:pPr>
        <w:pStyle w:val="ListParagraph"/>
        <w:numPr>
          <w:ilvl w:val="1"/>
          <w:numId w:val="39"/>
        </w:numPr>
        <w:rPr>
          <w:rFonts w:ascii="Calibri" w:hAnsi="Calibri" w:cs="Calibri"/>
          <w:color w:val="000000" w:themeColor="text1"/>
        </w:rPr>
      </w:pPr>
      <w:r w:rsidRPr="00BE4733">
        <w:rPr>
          <w:rFonts w:ascii="Calibri" w:hAnsi="Calibri" w:cs="Calibri"/>
          <w:color w:val="000000" w:themeColor="text1"/>
        </w:rPr>
        <w:t xml:space="preserve">Receipt of a disability check </w:t>
      </w:r>
    </w:p>
    <w:p w14:paraId="6C73EA58" w14:textId="77777777" w:rsidR="000C7092" w:rsidRPr="00BE4733" w:rsidRDefault="000C7092">
      <w:pPr>
        <w:pStyle w:val="ListParagraph"/>
        <w:numPr>
          <w:ilvl w:val="1"/>
          <w:numId w:val="39"/>
        </w:numPr>
        <w:rPr>
          <w:rFonts w:ascii="Calibri" w:hAnsi="Calibri" w:cs="Calibri"/>
          <w:color w:val="000000" w:themeColor="text1"/>
        </w:rPr>
      </w:pPr>
      <w:r w:rsidRPr="00BE4733">
        <w:rPr>
          <w:rFonts w:ascii="Calibri" w:hAnsi="Calibri" w:cs="Calibri"/>
          <w:color w:val="000000" w:themeColor="text1"/>
        </w:rPr>
        <w:t xml:space="preserve">Intake staff-recorded observation of disability confirmed no later than 45 days from the application for assistance AND at least one other piece of evidence </w:t>
      </w:r>
    </w:p>
    <w:p w14:paraId="35F234A5" w14:textId="3DEA655D" w:rsidR="000C7092" w:rsidRPr="00BE4733" w:rsidRDefault="000C7092">
      <w:pPr>
        <w:pStyle w:val="ListParagraph"/>
        <w:numPr>
          <w:ilvl w:val="1"/>
          <w:numId w:val="39"/>
        </w:numPr>
        <w:rPr>
          <w:rFonts w:ascii="Calibri" w:hAnsi="Calibri" w:cs="Calibri"/>
          <w:color w:val="000000" w:themeColor="text1"/>
        </w:rPr>
      </w:pPr>
      <w:r w:rsidRPr="00BE4733">
        <w:rPr>
          <w:rFonts w:ascii="Calibri" w:hAnsi="Calibri" w:cs="Calibri"/>
          <w:color w:val="000000" w:themeColor="text1"/>
        </w:rPr>
        <w:lastRenderedPageBreak/>
        <w:t xml:space="preserve">Other documentation approved by HUD </w:t>
      </w:r>
    </w:p>
    <w:p w14:paraId="643F7D8B" w14:textId="77777777" w:rsidR="00A76818" w:rsidRPr="00BE4733" w:rsidRDefault="00A76818" w:rsidP="00A76818">
      <w:pPr>
        <w:pStyle w:val="ListParagraph"/>
        <w:ind w:left="1800"/>
        <w:rPr>
          <w:rFonts w:ascii="Calibri" w:hAnsi="Calibri" w:cs="Calibri"/>
          <w:color w:val="000000" w:themeColor="text1"/>
        </w:rPr>
      </w:pPr>
    </w:p>
    <w:p w14:paraId="27DA6F64" w14:textId="77777777" w:rsidR="000C7092" w:rsidRPr="00BE4733" w:rsidRDefault="000C7092">
      <w:pPr>
        <w:pStyle w:val="ListParagraph"/>
        <w:numPr>
          <w:ilvl w:val="0"/>
          <w:numId w:val="39"/>
        </w:numPr>
        <w:rPr>
          <w:rFonts w:ascii="Calibri" w:hAnsi="Calibri"/>
          <w:b/>
          <w:bCs/>
          <w:color w:val="000000" w:themeColor="text1"/>
        </w:rPr>
      </w:pPr>
      <w:r w:rsidRPr="00BE4733">
        <w:rPr>
          <w:rFonts w:ascii="Calibri" w:hAnsi="Calibri"/>
          <w:b/>
          <w:bCs/>
          <w:color w:val="000000" w:themeColor="text1"/>
        </w:rPr>
        <w:t xml:space="preserve">Proof of Current Homelessness </w:t>
      </w:r>
    </w:p>
    <w:p w14:paraId="01F013D1" w14:textId="58A2860A" w:rsidR="000C7092" w:rsidRPr="00BE4733" w:rsidRDefault="000C7092">
      <w:pPr>
        <w:pStyle w:val="ListParagraph"/>
        <w:numPr>
          <w:ilvl w:val="1"/>
          <w:numId w:val="39"/>
        </w:numPr>
        <w:rPr>
          <w:rFonts w:ascii="Calibri" w:hAnsi="Calibri" w:cs="Calibri"/>
          <w:color w:val="000000" w:themeColor="text1"/>
          <w:u w:val="single"/>
        </w:rPr>
      </w:pPr>
      <w:r w:rsidRPr="00BE4733">
        <w:rPr>
          <w:rFonts w:ascii="Calibri" w:hAnsi="Calibri" w:cs="Calibri"/>
          <w:color w:val="000000" w:themeColor="text1"/>
          <w:shd w:val="clear" w:color="auto" w:fill="FFFFFF"/>
        </w:rPr>
        <w:t xml:space="preserve">HMIS records (or </w:t>
      </w:r>
      <w:r w:rsidR="00BA60F0" w:rsidRPr="00BE4733">
        <w:rPr>
          <w:rFonts w:ascii="Calibri" w:hAnsi="Calibri" w:cs="Calibri"/>
          <w:color w:val="000000" w:themeColor="text1"/>
          <w:shd w:val="clear" w:color="auto" w:fill="FFFFFF"/>
        </w:rPr>
        <w:t>another</w:t>
      </w:r>
      <w:r w:rsidRPr="00BE4733">
        <w:rPr>
          <w:rFonts w:ascii="Calibri" w:hAnsi="Calibri" w:cs="Calibri"/>
          <w:color w:val="000000" w:themeColor="text1"/>
          <w:shd w:val="clear" w:color="auto" w:fill="FFFFFF"/>
        </w:rPr>
        <w:t xml:space="preserve"> comparable database)</w:t>
      </w:r>
    </w:p>
    <w:p w14:paraId="7234ED26" w14:textId="4B46951B" w:rsidR="000C7092" w:rsidRPr="00BE4733" w:rsidRDefault="000C7092">
      <w:pPr>
        <w:pStyle w:val="ListParagraph"/>
        <w:numPr>
          <w:ilvl w:val="1"/>
          <w:numId w:val="39"/>
        </w:numPr>
        <w:rPr>
          <w:rFonts w:ascii="Calibri" w:hAnsi="Calibri" w:cs="Calibri"/>
          <w:color w:val="000000" w:themeColor="text1"/>
          <w:u w:val="single"/>
        </w:rPr>
      </w:pPr>
      <w:r w:rsidRPr="00BE4733">
        <w:rPr>
          <w:rFonts w:ascii="Calibri" w:hAnsi="Calibri" w:cs="Calibri"/>
          <w:color w:val="000000" w:themeColor="text1"/>
          <w:shd w:val="clear" w:color="auto" w:fill="FFFFFF"/>
        </w:rPr>
        <w:t>Written observation by outreach or intake worker</w:t>
      </w:r>
    </w:p>
    <w:p w14:paraId="737ABBCC" w14:textId="0910B717" w:rsidR="000C7092" w:rsidRPr="00BE4733" w:rsidRDefault="000C7092">
      <w:pPr>
        <w:pStyle w:val="ListParagraph"/>
        <w:numPr>
          <w:ilvl w:val="1"/>
          <w:numId w:val="39"/>
        </w:numPr>
        <w:rPr>
          <w:rFonts w:ascii="Calibri" w:hAnsi="Calibri" w:cs="Calibri"/>
          <w:color w:val="000000" w:themeColor="text1"/>
          <w:u w:val="single"/>
        </w:rPr>
      </w:pPr>
      <w:r w:rsidRPr="00BE4733">
        <w:rPr>
          <w:rFonts w:ascii="Calibri" w:hAnsi="Calibri" w:cs="Calibri"/>
          <w:color w:val="000000" w:themeColor="text1"/>
          <w:shd w:val="clear" w:color="auto" w:fill="FFFFFF"/>
        </w:rPr>
        <w:t>Written community member observation of where the individual was living</w:t>
      </w:r>
      <w:r w:rsidR="00442BDB" w:rsidRPr="00BE4733">
        <w:rPr>
          <w:rFonts w:ascii="Calibri" w:hAnsi="Calibri" w:cs="Calibri"/>
          <w:color w:val="000000" w:themeColor="text1"/>
          <w:shd w:val="clear" w:color="auto" w:fill="FFFFFF"/>
        </w:rPr>
        <w:t>/lives</w:t>
      </w:r>
    </w:p>
    <w:p w14:paraId="5285A025" w14:textId="77777777" w:rsidR="003934A4" w:rsidRPr="00BE4733" w:rsidRDefault="000C7092">
      <w:pPr>
        <w:pStyle w:val="ListParagraph"/>
        <w:numPr>
          <w:ilvl w:val="1"/>
          <w:numId w:val="39"/>
        </w:numPr>
        <w:rPr>
          <w:rFonts w:ascii="Calibri" w:hAnsi="Calibri" w:cs="Calibri"/>
          <w:color w:val="000000" w:themeColor="text1"/>
          <w:u w:val="single"/>
        </w:rPr>
      </w:pPr>
      <w:r w:rsidRPr="00BE4733">
        <w:rPr>
          <w:rFonts w:ascii="Calibri" w:hAnsi="Calibri" w:cs="Calibri"/>
          <w:color w:val="000000" w:themeColor="text1"/>
          <w:shd w:val="clear" w:color="auto" w:fill="FFFFFF"/>
        </w:rPr>
        <w:t>Written referral by another housing or service provider</w:t>
      </w:r>
    </w:p>
    <w:p w14:paraId="65BEDFA7" w14:textId="748F4568" w:rsidR="00D3629F" w:rsidRPr="00BE4733" w:rsidRDefault="000C7092">
      <w:pPr>
        <w:pStyle w:val="ListParagraph"/>
        <w:numPr>
          <w:ilvl w:val="1"/>
          <w:numId w:val="39"/>
        </w:numPr>
        <w:rPr>
          <w:rFonts w:ascii="Calibri" w:hAnsi="Calibri" w:cs="Calibri"/>
          <w:color w:val="000000" w:themeColor="text1"/>
          <w:u w:val="single"/>
        </w:rPr>
      </w:pPr>
      <w:r w:rsidRPr="00BE4733">
        <w:rPr>
          <w:rFonts w:ascii="Calibri" w:hAnsi="Calibri" w:cs="Calibri"/>
          <w:color w:val="000000" w:themeColor="text1"/>
          <w:u w:val="single"/>
          <w:shd w:val="clear" w:color="auto" w:fill="FFFFFF"/>
        </w:rPr>
        <w:t xml:space="preserve">If no other evidence </w:t>
      </w:r>
      <w:r w:rsidR="00E13D8B" w:rsidRPr="00BE4733">
        <w:rPr>
          <w:rFonts w:ascii="Calibri" w:hAnsi="Calibri" w:cs="Calibri"/>
          <w:color w:val="000000" w:themeColor="text1"/>
          <w:u w:val="single"/>
          <w:shd w:val="clear" w:color="auto" w:fill="FFFFFF"/>
        </w:rPr>
        <w:t>is available</w:t>
      </w:r>
      <w:r w:rsidRPr="00BE4733">
        <w:rPr>
          <w:rFonts w:ascii="Calibri" w:hAnsi="Calibri" w:cs="Calibri"/>
          <w:color w:val="000000" w:themeColor="text1"/>
          <w:shd w:val="clear" w:color="auto" w:fill="FFFFFF"/>
        </w:rPr>
        <w:t xml:space="preserve">, a certification by the individual </w:t>
      </w:r>
      <w:r w:rsidR="00E13D8B" w:rsidRPr="00BE4733">
        <w:rPr>
          <w:rFonts w:ascii="Calibri" w:hAnsi="Calibri" w:cs="Calibri"/>
          <w:color w:val="000000" w:themeColor="text1"/>
          <w:shd w:val="clear" w:color="auto" w:fill="FFFFFF"/>
        </w:rPr>
        <w:t>seeking assistance</w:t>
      </w:r>
    </w:p>
    <w:p w14:paraId="654C5945" w14:textId="77777777" w:rsidR="003C1BD2" w:rsidRPr="000604EE" w:rsidRDefault="003C1BD2" w:rsidP="00FC037D"/>
    <w:p w14:paraId="32CD16A9" w14:textId="77777777" w:rsidR="003C1BD2" w:rsidRPr="000604EE" w:rsidRDefault="003C1BD2" w:rsidP="00FC037D"/>
    <w:p w14:paraId="55C192AE" w14:textId="48564D85" w:rsidR="003C1BD2" w:rsidRDefault="003C1BD2" w:rsidP="00FC037D"/>
    <w:p w14:paraId="31E8D5D6" w14:textId="4C604982" w:rsidR="00A76818" w:rsidRPr="00A76818" w:rsidRDefault="00A76818" w:rsidP="00FC037D"/>
    <w:p w14:paraId="24F0E71B" w14:textId="48DEB958" w:rsidR="00A76818" w:rsidRPr="00A76818" w:rsidRDefault="00A76818" w:rsidP="00FC037D"/>
    <w:p w14:paraId="6B884676" w14:textId="155F1779" w:rsidR="003C1BD2" w:rsidRDefault="003C1BD2" w:rsidP="00FC037D"/>
    <w:p w14:paraId="7C142D0F" w14:textId="2D1189D1" w:rsidR="00A76818" w:rsidRDefault="00A76818" w:rsidP="00FC037D"/>
    <w:p w14:paraId="14E0EA06" w14:textId="57B504B1" w:rsidR="00A76818" w:rsidRDefault="00A76818" w:rsidP="00FC037D"/>
    <w:p w14:paraId="5681F123" w14:textId="1266EF47" w:rsidR="00A76818" w:rsidRDefault="00A76818" w:rsidP="00FC037D"/>
    <w:p w14:paraId="11F63B5B" w14:textId="0045598E" w:rsidR="00A76818" w:rsidRDefault="00A76818" w:rsidP="00FC037D"/>
    <w:p w14:paraId="7F895C32" w14:textId="0B1951AC" w:rsidR="00A76818" w:rsidRDefault="00A76818" w:rsidP="00FC037D"/>
    <w:p w14:paraId="655ED99F" w14:textId="05634192" w:rsidR="00A76818" w:rsidRDefault="00A76818" w:rsidP="00FC037D"/>
    <w:p w14:paraId="4BD74119" w14:textId="1AC018C0" w:rsidR="00A76818" w:rsidRDefault="00A76818" w:rsidP="00FC037D"/>
    <w:p w14:paraId="56823E43" w14:textId="74F7996B" w:rsidR="00A76818" w:rsidRDefault="00A76818" w:rsidP="00FC037D"/>
    <w:p w14:paraId="59C591C9" w14:textId="026D3B50" w:rsidR="00A76818" w:rsidRDefault="00A76818" w:rsidP="00FC037D"/>
    <w:p w14:paraId="338911AD" w14:textId="62E15452" w:rsidR="00A76818" w:rsidRDefault="00A76818" w:rsidP="00FC037D"/>
    <w:p w14:paraId="796CA66D" w14:textId="62AFD2F5" w:rsidR="00A76818" w:rsidRDefault="00A76818" w:rsidP="00FC037D"/>
    <w:p w14:paraId="0E3CE33D" w14:textId="7FF6747E" w:rsidR="00A76818" w:rsidRDefault="00A76818" w:rsidP="00FC037D"/>
    <w:p w14:paraId="2CDFF8A4" w14:textId="26976779" w:rsidR="00A76818" w:rsidRDefault="00A76818" w:rsidP="00FC037D"/>
    <w:p w14:paraId="19696526" w14:textId="2B9299D1" w:rsidR="00A76818" w:rsidRDefault="00A76818" w:rsidP="00FC037D"/>
    <w:p w14:paraId="32239EF9" w14:textId="47185B86" w:rsidR="00A76818" w:rsidRDefault="00A76818" w:rsidP="00FC037D"/>
    <w:p w14:paraId="0C7C0B1F" w14:textId="678A3069" w:rsidR="00A76818" w:rsidRDefault="00A76818" w:rsidP="00FC037D"/>
    <w:tbl>
      <w:tblPr>
        <w:tblStyle w:val="GridTable4-Accent1"/>
        <w:tblpPr w:leftFromText="180" w:rightFromText="180" w:horzAnchor="page" w:tblpX="765" w:tblpY="-764"/>
        <w:tblW w:w="14328" w:type="dxa"/>
        <w:tblLayout w:type="fixed"/>
        <w:tblLook w:val="04A0" w:firstRow="1" w:lastRow="0" w:firstColumn="1" w:lastColumn="0" w:noHBand="0" w:noVBand="1"/>
      </w:tblPr>
      <w:tblGrid>
        <w:gridCol w:w="1314"/>
        <w:gridCol w:w="3253"/>
        <w:gridCol w:w="3254"/>
        <w:gridCol w:w="3253"/>
        <w:gridCol w:w="3254"/>
      </w:tblGrid>
      <w:tr w:rsidR="000C7D2E" w:rsidRPr="000604EE" w14:paraId="2FAF1EB6" w14:textId="77777777" w:rsidTr="00EF1214">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4328" w:type="dxa"/>
            <w:gridSpan w:val="5"/>
          </w:tcPr>
          <w:p w14:paraId="1906A9DC" w14:textId="5824D1E1" w:rsidR="00857143" w:rsidRPr="00A76818" w:rsidRDefault="00857143" w:rsidP="00CB14E5">
            <w:pPr>
              <w:pStyle w:val="Heading2"/>
              <w:numPr>
                <w:ilvl w:val="3"/>
                <w:numId w:val="105"/>
              </w:numPr>
              <w:ind w:left="342"/>
              <w:outlineLvl w:val="1"/>
            </w:pPr>
            <w:bookmarkStart w:id="201" w:name="_Toc124255108"/>
            <w:r w:rsidRPr="00A76818">
              <w:lastRenderedPageBreak/>
              <w:t xml:space="preserve">Rapid Rehousing/Homeless Prevention </w:t>
            </w:r>
            <w:r w:rsidR="00EF1214" w:rsidRPr="00A76818">
              <w:t>Quick Reference Sheet</w:t>
            </w:r>
            <w:bookmarkEnd w:id="201"/>
          </w:p>
        </w:tc>
      </w:tr>
      <w:tr w:rsidR="00857143" w:rsidRPr="00A76818" w14:paraId="72F67531" w14:textId="77777777" w:rsidTr="000228F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14" w:type="dxa"/>
          </w:tcPr>
          <w:p w14:paraId="1AD61896" w14:textId="0B0DA987" w:rsidR="00857143" w:rsidRPr="00A76818" w:rsidRDefault="00857143" w:rsidP="000604EE">
            <w:pPr>
              <w:pStyle w:val="ListParagraph"/>
              <w:ind w:left="0"/>
              <w:rPr>
                <w:rFonts w:ascii="Calibri" w:hAnsi="Calibri"/>
                <w:b w:val="0"/>
                <w:bCs w:val="0"/>
                <w:color w:val="000000" w:themeColor="text1"/>
                <w:sz w:val="22"/>
                <w:szCs w:val="22"/>
              </w:rPr>
            </w:pPr>
          </w:p>
        </w:tc>
        <w:tc>
          <w:tcPr>
            <w:tcW w:w="3253" w:type="dxa"/>
          </w:tcPr>
          <w:p w14:paraId="2279F089" w14:textId="157ACE92" w:rsidR="00857143" w:rsidRPr="00A76818" w:rsidRDefault="00857143" w:rsidP="00A7681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ESG-</w:t>
            </w:r>
            <w:r w:rsidR="00CE0915">
              <w:rPr>
                <w:rFonts w:ascii="Calibri" w:hAnsi="Calibri"/>
                <w:color w:val="000000" w:themeColor="text1"/>
                <w:sz w:val="22"/>
                <w:szCs w:val="22"/>
              </w:rPr>
              <w:t>HP</w:t>
            </w:r>
          </w:p>
        </w:tc>
        <w:tc>
          <w:tcPr>
            <w:tcW w:w="3254" w:type="dxa"/>
          </w:tcPr>
          <w:p w14:paraId="3B0D7A88" w14:textId="77777777" w:rsidR="00857143" w:rsidRPr="00A76818" w:rsidRDefault="00857143" w:rsidP="00A7681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ESG-RRH</w:t>
            </w:r>
          </w:p>
        </w:tc>
        <w:tc>
          <w:tcPr>
            <w:tcW w:w="3253" w:type="dxa"/>
          </w:tcPr>
          <w:p w14:paraId="0F22872E" w14:textId="77777777" w:rsidR="00857143" w:rsidRPr="00A76818" w:rsidRDefault="00857143" w:rsidP="00A7681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CoC-RRH</w:t>
            </w:r>
          </w:p>
        </w:tc>
        <w:tc>
          <w:tcPr>
            <w:tcW w:w="3254" w:type="dxa"/>
          </w:tcPr>
          <w:p w14:paraId="3AA8A609" w14:textId="35BDF50B" w:rsidR="00857143" w:rsidRPr="00A76818" w:rsidRDefault="00857143" w:rsidP="00A7681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CESH-</w:t>
            </w:r>
            <w:r w:rsidR="00CE0915">
              <w:rPr>
                <w:rFonts w:ascii="Calibri" w:hAnsi="Calibri"/>
                <w:color w:val="000000" w:themeColor="text1"/>
                <w:sz w:val="22"/>
                <w:szCs w:val="22"/>
              </w:rPr>
              <w:t>HP</w:t>
            </w:r>
          </w:p>
        </w:tc>
      </w:tr>
      <w:tr w:rsidR="00857143" w:rsidRPr="00A76818" w14:paraId="135EAFBF" w14:textId="77777777" w:rsidTr="001A4C52">
        <w:trPr>
          <w:trHeight w:val="1192"/>
        </w:trPr>
        <w:tc>
          <w:tcPr>
            <w:cnfStyle w:val="001000000000" w:firstRow="0" w:lastRow="0" w:firstColumn="1" w:lastColumn="0" w:oddVBand="0" w:evenVBand="0" w:oddHBand="0" w:evenHBand="0" w:firstRowFirstColumn="0" w:firstRowLastColumn="0" w:lastRowFirstColumn="0" w:lastRowLastColumn="0"/>
            <w:tcW w:w="1314" w:type="dxa"/>
            <w:textDirection w:val="btLr"/>
            <w:vAlign w:val="center"/>
          </w:tcPr>
          <w:p w14:paraId="73FAD567" w14:textId="168B7523" w:rsidR="00857143" w:rsidRPr="00A76818" w:rsidRDefault="00857143" w:rsidP="00A76818">
            <w:pPr>
              <w:pStyle w:val="ListParagraph"/>
              <w:ind w:left="113" w:right="113"/>
              <w:jc w:val="center"/>
              <w:rPr>
                <w:rFonts w:ascii="Calibri" w:hAnsi="Calibri"/>
                <w:b w:val="0"/>
                <w:bCs w:val="0"/>
                <w:color w:val="000000" w:themeColor="text1"/>
                <w:sz w:val="22"/>
                <w:szCs w:val="22"/>
              </w:rPr>
            </w:pPr>
            <w:r w:rsidRPr="00A76818">
              <w:rPr>
                <w:rFonts w:ascii="Calibri" w:hAnsi="Calibri"/>
                <w:b w:val="0"/>
                <w:bCs w:val="0"/>
                <w:color w:val="000000" w:themeColor="text1"/>
                <w:sz w:val="22"/>
                <w:szCs w:val="22"/>
              </w:rPr>
              <w:t>Incom</w:t>
            </w:r>
            <w:r w:rsidR="001A4C52" w:rsidRPr="00A76818">
              <w:rPr>
                <w:rFonts w:ascii="Calibri" w:hAnsi="Calibri"/>
                <w:b w:val="0"/>
                <w:bCs w:val="0"/>
                <w:color w:val="000000" w:themeColor="text1"/>
                <w:sz w:val="22"/>
                <w:szCs w:val="22"/>
              </w:rPr>
              <w:t>e</w:t>
            </w:r>
          </w:p>
          <w:p w14:paraId="78D9D351" w14:textId="44A467C1" w:rsidR="00857143" w:rsidRPr="00A76818" w:rsidRDefault="00857143" w:rsidP="00A76818">
            <w:pPr>
              <w:pStyle w:val="ListParagraph"/>
              <w:ind w:left="113" w:right="113"/>
              <w:jc w:val="center"/>
              <w:rPr>
                <w:rFonts w:ascii="Calibri" w:hAnsi="Calibri"/>
                <w:b w:val="0"/>
                <w:bCs w:val="0"/>
                <w:color w:val="000000" w:themeColor="text1"/>
                <w:sz w:val="22"/>
                <w:szCs w:val="22"/>
              </w:rPr>
            </w:pPr>
            <w:r w:rsidRPr="00A76818">
              <w:rPr>
                <w:rFonts w:ascii="Calibri" w:hAnsi="Calibri"/>
                <w:b w:val="0"/>
                <w:bCs w:val="0"/>
                <w:color w:val="000000" w:themeColor="text1"/>
                <w:sz w:val="22"/>
                <w:szCs w:val="22"/>
              </w:rPr>
              <w:t xml:space="preserve">Limit at </w:t>
            </w:r>
            <w:r w:rsidRPr="00A76818">
              <w:rPr>
                <w:rFonts w:ascii="Calibri" w:hAnsi="Calibri"/>
                <w:b w:val="0"/>
                <w:bCs w:val="0"/>
                <w:color w:val="000000" w:themeColor="text1"/>
                <w:sz w:val="22"/>
                <w:szCs w:val="22"/>
                <w:u w:val="single"/>
              </w:rPr>
              <w:t>Intake</w:t>
            </w:r>
          </w:p>
        </w:tc>
        <w:tc>
          <w:tcPr>
            <w:tcW w:w="3253" w:type="dxa"/>
          </w:tcPr>
          <w:p w14:paraId="578CB0DA" w14:textId="77777777" w:rsidR="00857143" w:rsidRPr="00A76818" w:rsidRDefault="00857143"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Required – 30% AMI</w:t>
            </w:r>
          </w:p>
        </w:tc>
        <w:tc>
          <w:tcPr>
            <w:tcW w:w="3254" w:type="dxa"/>
          </w:tcPr>
          <w:p w14:paraId="4B6980B9" w14:textId="1AFC251C" w:rsidR="00857143" w:rsidRPr="00A76818" w:rsidRDefault="00857143"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Not required at initial evaluation (</w:t>
            </w:r>
            <w:r w:rsidR="00BA60F0">
              <w:rPr>
                <w:rFonts w:ascii="Calibri" w:hAnsi="Calibri" w:cs="Calibri"/>
                <w:color w:val="000000" w:themeColor="text1"/>
                <w:sz w:val="22"/>
                <w:szCs w:val="22"/>
              </w:rPr>
              <w:t>i.e.,</w:t>
            </w:r>
            <w:r w:rsidRPr="00A76818">
              <w:rPr>
                <w:rFonts w:ascii="Calibri" w:hAnsi="Calibri" w:cs="Calibri"/>
                <w:color w:val="000000" w:themeColor="text1"/>
                <w:sz w:val="22"/>
                <w:szCs w:val="22"/>
              </w:rPr>
              <w:t xml:space="preserve"> no minimum or maximum income limits when determining the initial eligibility of a household)</w:t>
            </w:r>
          </w:p>
          <w:p w14:paraId="297C17C5" w14:textId="77777777" w:rsidR="00857143" w:rsidRPr="00A76818" w:rsidRDefault="00857143" w:rsidP="000604EE">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p>
        </w:tc>
        <w:tc>
          <w:tcPr>
            <w:tcW w:w="3253" w:type="dxa"/>
          </w:tcPr>
          <w:p w14:paraId="18A89CE3" w14:textId="21411FB3" w:rsidR="00857143" w:rsidRPr="00A76818" w:rsidRDefault="00857143"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Not required at initial evaluation (</w:t>
            </w:r>
            <w:r w:rsidR="00BA60F0">
              <w:rPr>
                <w:rFonts w:ascii="Calibri" w:hAnsi="Calibri" w:cs="Calibri"/>
                <w:color w:val="000000" w:themeColor="text1"/>
                <w:sz w:val="22"/>
                <w:szCs w:val="22"/>
              </w:rPr>
              <w:t>i.e.,</w:t>
            </w:r>
            <w:r w:rsidRPr="00A76818">
              <w:rPr>
                <w:rFonts w:ascii="Calibri" w:hAnsi="Calibri" w:cs="Calibri"/>
                <w:color w:val="000000" w:themeColor="text1"/>
                <w:sz w:val="22"/>
                <w:szCs w:val="22"/>
              </w:rPr>
              <w:t xml:space="preserve"> no minimum or maximum income limits when determining the initial eligibility of a household)</w:t>
            </w:r>
          </w:p>
          <w:p w14:paraId="17976C69" w14:textId="77777777" w:rsidR="00857143" w:rsidRPr="00A76818" w:rsidRDefault="00857143" w:rsidP="000604EE">
            <w:pPr>
              <w:pStyle w:val="ListParagrap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p>
        </w:tc>
        <w:tc>
          <w:tcPr>
            <w:tcW w:w="3254" w:type="dxa"/>
          </w:tcPr>
          <w:p w14:paraId="2726B79C" w14:textId="3D601EF5" w:rsidR="00857143" w:rsidRPr="00A76818" w:rsidRDefault="00EF1214"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 xml:space="preserve">Required – 30% AMI </w:t>
            </w:r>
          </w:p>
        </w:tc>
      </w:tr>
      <w:tr w:rsidR="00857143" w:rsidRPr="00A76818" w14:paraId="65E9D6E8" w14:textId="77777777" w:rsidTr="00EF1214">
        <w:trPr>
          <w:cnfStyle w:val="000000100000" w:firstRow="0" w:lastRow="0" w:firstColumn="0" w:lastColumn="0" w:oddVBand="0" w:evenVBand="0" w:oddHBand="1" w:evenHBand="0" w:firstRowFirstColumn="0" w:firstRowLastColumn="0" w:lastRowFirstColumn="0" w:lastRowLastColumn="0"/>
          <w:trHeight w:val="1741"/>
        </w:trPr>
        <w:tc>
          <w:tcPr>
            <w:cnfStyle w:val="001000000000" w:firstRow="0" w:lastRow="0" w:firstColumn="1" w:lastColumn="0" w:oddVBand="0" w:evenVBand="0" w:oddHBand="0" w:evenHBand="0" w:firstRowFirstColumn="0" w:firstRowLastColumn="0" w:lastRowFirstColumn="0" w:lastRowLastColumn="0"/>
            <w:tcW w:w="1314" w:type="dxa"/>
            <w:textDirection w:val="btLr"/>
            <w:vAlign w:val="center"/>
          </w:tcPr>
          <w:p w14:paraId="3288DE39" w14:textId="77777777" w:rsidR="00857143" w:rsidRPr="00A76818" w:rsidRDefault="00857143" w:rsidP="00A76818">
            <w:pPr>
              <w:pStyle w:val="ListParagraph"/>
              <w:ind w:left="113" w:right="113"/>
              <w:jc w:val="center"/>
              <w:rPr>
                <w:rFonts w:ascii="Calibri" w:hAnsi="Calibri"/>
                <w:b w:val="0"/>
                <w:bCs w:val="0"/>
                <w:color w:val="000000" w:themeColor="text1"/>
                <w:sz w:val="22"/>
                <w:szCs w:val="22"/>
              </w:rPr>
            </w:pPr>
            <w:r w:rsidRPr="00A76818">
              <w:rPr>
                <w:rFonts w:ascii="Calibri" w:hAnsi="Calibri"/>
                <w:b w:val="0"/>
                <w:bCs w:val="0"/>
                <w:color w:val="000000" w:themeColor="text1"/>
                <w:sz w:val="22"/>
                <w:szCs w:val="22"/>
              </w:rPr>
              <w:t xml:space="preserve">Income Limit at </w:t>
            </w:r>
            <w:r w:rsidRPr="00A76818">
              <w:rPr>
                <w:rFonts w:ascii="Calibri" w:hAnsi="Calibri"/>
                <w:b w:val="0"/>
                <w:bCs w:val="0"/>
                <w:color w:val="000000" w:themeColor="text1"/>
                <w:sz w:val="22"/>
                <w:szCs w:val="22"/>
                <w:u w:val="single"/>
              </w:rPr>
              <w:t>Re-Evaluation</w:t>
            </w:r>
          </w:p>
        </w:tc>
        <w:tc>
          <w:tcPr>
            <w:tcW w:w="3253" w:type="dxa"/>
          </w:tcPr>
          <w:p w14:paraId="47C1EE26" w14:textId="77777777" w:rsidR="00857143" w:rsidRPr="00A76818" w:rsidRDefault="008571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 xml:space="preserve">Required – 30% AMI </w:t>
            </w:r>
          </w:p>
          <w:p w14:paraId="75D9FF8B" w14:textId="77777777" w:rsidR="00857143" w:rsidRPr="00A76818" w:rsidRDefault="00857143" w:rsidP="000604EE">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p>
        </w:tc>
        <w:tc>
          <w:tcPr>
            <w:tcW w:w="3254" w:type="dxa"/>
          </w:tcPr>
          <w:p w14:paraId="472D6C3C" w14:textId="77777777" w:rsidR="00857143" w:rsidRPr="00A76818" w:rsidRDefault="008571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 xml:space="preserve">Required – 30% AMI </w:t>
            </w:r>
          </w:p>
          <w:p w14:paraId="349E13A3" w14:textId="77777777" w:rsidR="00857143" w:rsidRPr="00A76818" w:rsidRDefault="00857143" w:rsidP="000604EE">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p>
        </w:tc>
        <w:tc>
          <w:tcPr>
            <w:tcW w:w="3253" w:type="dxa"/>
          </w:tcPr>
          <w:p w14:paraId="2F6425E3" w14:textId="5B8E9BB5" w:rsidR="00857143" w:rsidRPr="00A76818" w:rsidRDefault="008571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 xml:space="preserve">Required – Not to exceed 80% AMI </w:t>
            </w:r>
            <w:r w:rsidR="000228F0" w:rsidRPr="00A76818">
              <w:rPr>
                <w:rFonts w:ascii="Calibri" w:hAnsi="Calibri" w:cs="Calibri"/>
                <w:color w:val="000000" w:themeColor="text1"/>
                <w:sz w:val="22"/>
                <w:szCs w:val="22"/>
              </w:rPr>
              <w:t>[Local Requirement]</w:t>
            </w:r>
          </w:p>
          <w:p w14:paraId="300E4EDB" w14:textId="77777777" w:rsidR="00857143" w:rsidRPr="00A76818" w:rsidRDefault="008571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p>
          <w:p w14:paraId="2FF3F5C9" w14:textId="3C94CC63" w:rsidR="00857143" w:rsidRPr="00A76818" w:rsidRDefault="008571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p>
        </w:tc>
        <w:tc>
          <w:tcPr>
            <w:tcW w:w="3254" w:type="dxa"/>
          </w:tcPr>
          <w:p w14:paraId="3D28EBC6" w14:textId="77777777" w:rsidR="00857143" w:rsidRPr="00A76818" w:rsidRDefault="008571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 xml:space="preserve">Required – 30% AMI </w:t>
            </w:r>
          </w:p>
        </w:tc>
      </w:tr>
      <w:tr w:rsidR="00857143" w:rsidRPr="00A76818" w14:paraId="39C9EBA8" w14:textId="77777777" w:rsidTr="00EF1214">
        <w:trPr>
          <w:trHeight w:val="1579"/>
        </w:trPr>
        <w:tc>
          <w:tcPr>
            <w:cnfStyle w:val="001000000000" w:firstRow="0" w:lastRow="0" w:firstColumn="1" w:lastColumn="0" w:oddVBand="0" w:evenVBand="0" w:oddHBand="0" w:evenHBand="0" w:firstRowFirstColumn="0" w:firstRowLastColumn="0" w:lastRowFirstColumn="0" w:lastRowLastColumn="0"/>
            <w:tcW w:w="1314" w:type="dxa"/>
            <w:textDirection w:val="btLr"/>
            <w:vAlign w:val="center"/>
          </w:tcPr>
          <w:p w14:paraId="56E6632A" w14:textId="77777777" w:rsidR="00857143" w:rsidRPr="00A76818" w:rsidRDefault="00857143" w:rsidP="00A76818">
            <w:pPr>
              <w:pStyle w:val="ListParagraph"/>
              <w:ind w:left="113" w:right="113"/>
              <w:jc w:val="center"/>
              <w:rPr>
                <w:rFonts w:ascii="Calibri" w:hAnsi="Calibri"/>
                <w:b w:val="0"/>
                <w:bCs w:val="0"/>
                <w:color w:val="000000" w:themeColor="text1"/>
                <w:sz w:val="22"/>
                <w:szCs w:val="22"/>
              </w:rPr>
            </w:pPr>
            <w:r w:rsidRPr="00A76818">
              <w:rPr>
                <w:rFonts w:ascii="Calibri" w:hAnsi="Calibri"/>
                <w:b w:val="0"/>
                <w:bCs w:val="0"/>
                <w:color w:val="000000" w:themeColor="text1"/>
                <w:sz w:val="22"/>
                <w:szCs w:val="22"/>
              </w:rPr>
              <w:t>Frequency of Re-Evaluation</w:t>
            </w:r>
          </w:p>
        </w:tc>
        <w:tc>
          <w:tcPr>
            <w:tcW w:w="3253" w:type="dxa"/>
          </w:tcPr>
          <w:p w14:paraId="5F7716C6" w14:textId="77777777" w:rsidR="00857143" w:rsidRPr="00A76818" w:rsidRDefault="00857143"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No less than every three months</w:t>
            </w:r>
          </w:p>
        </w:tc>
        <w:tc>
          <w:tcPr>
            <w:tcW w:w="3254" w:type="dxa"/>
          </w:tcPr>
          <w:p w14:paraId="76B1A5EF" w14:textId="77777777" w:rsidR="00857143" w:rsidRPr="00A76818" w:rsidRDefault="00857143"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No less than every three months</w:t>
            </w:r>
          </w:p>
        </w:tc>
        <w:tc>
          <w:tcPr>
            <w:tcW w:w="3253" w:type="dxa"/>
          </w:tcPr>
          <w:p w14:paraId="1837B345" w14:textId="695BE481" w:rsidR="00857143" w:rsidRPr="00A76818" w:rsidRDefault="00857143"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No less than every three months</w:t>
            </w:r>
            <w:r w:rsidRPr="00A76818" w:rsidDel="00EC338A">
              <w:rPr>
                <w:rFonts w:ascii="Calibri" w:hAnsi="Calibri" w:cs="Calibri"/>
                <w:color w:val="000000" w:themeColor="text1"/>
                <w:sz w:val="22"/>
                <w:szCs w:val="22"/>
              </w:rPr>
              <w:t xml:space="preserve"> </w:t>
            </w:r>
            <w:r w:rsidR="000228F0" w:rsidRPr="00A76818">
              <w:rPr>
                <w:rFonts w:ascii="Calibri" w:hAnsi="Calibri" w:cs="Calibri"/>
                <w:color w:val="000000" w:themeColor="text1"/>
                <w:sz w:val="22"/>
                <w:szCs w:val="22"/>
              </w:rPr>
              <w:t>[Local Requirement]</w:t>
            </w:r>
          </w:p>
          <w:p w14:paraId="0DEA52A7" w14:textId="3371B3D4" w:rsidR="00857143" w:rsidRPr="00A76818" w:rsidRDefault="00857143"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p>
          <w:p w14:paraId="71719992" w14:textId="77777777" w:rsidR="00857143" w:rsidRPr="00A76818" w:rsidRDefault="00857143"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p>
        </w:tc>
        <w:tc>
          <w:tcPr>
            <w:tcW w:w="3254" w:type="dxa"/>
          </w:tcPr>
          <w:p w14:paraId="2E1D6C21" w14:textId="77777777" w:rsidR="00857143" w:rsidRPr="00A76818" w:rsidRDefault="00857143"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N/A</w:t>
            </w:r>
          </w:p>
        </w:tc>
      </w:tr>
      <w:tr w:rsidR="00857143" w:rsidRPr="00A76818" w14:paraId="3193D1E0" w14:textId="77777777" w:rsidTr="000228F0">
        <w:trPr>
          <w:cnfStyle w:val="000000100000" w:firstRow="0" w:lastRow="0" w:firstColumn="0" w:lastColumn="0" w:oddVBand="0" w:evenVBand="0" w:oddHBand="1" w:evenHBand="0" w:firstRowFirstColumn="0" w:firstRowLastColumn="0" w:lastRowFirstColumn="0" w:lastRowLastColumn="0"/>
          <w:trHeight w:val="2322"/>
        </w:trPr>
        <w:tc>
          <w:tcPr>
            <w:cnfStyle w:val="001000000000" w:firstRow="0" w:lastRow="0" w:firstColumn="1" w:lastColumn="0" w:oddVBand="0" w:evenVBand="0" w:oddHBand="0" w:evenHBand="0" w:firstRowFirstColumn="0" w:firstRowLastColumn="0" w:lastRowFirstColumn="0" w:lastRowLastColumn="0"/>
            <w:tcW w:w="1314" w:type="dxa"/>
            <w:textDirection w:val="btLr"/>
            <w:vAlign w:val="center"/>
          </w:tcPr>
          <w:p w14:paraId="12625251" w14:textId="77777777" w:rsidR="00857143" w:rsidRPr="00A76818" w:rsidRDefault="00857143" w:rsidP="00A76818">
            <w:pPr>
              <w:pStyle w:val="ListParagraph"/>
              <w:ind w:left="113" w:right="113"/>
              <w:jc w:val="center"/>
              <w:rPr>
                <w:rFonts w:ascii="Calibri" w:hAnsi="Calibri"/>
                <w:b w:val="0"/>
                <w:bCs w:val="0"/>
                <w:color w:val="000000" w:themeColor="text1"/>
                <w:sz w:val="22"/>
                <w:szCs w:val="22"/>
              </w:rPr>
            </w:pPr>
            <w:r w:rsidRPr="00A76818">
              <w:rPr>
                <w:rFonts w:ascii="Calibri" w:hAnsi="Calibri"/>
                <w:b w:val="0"/>
                <w:bCs w:val="0"/>
                <w:color w:val="000000" w:themeColor="text1"/>
                <w:sz w:val="22"/>
                <w:szCs w:val="22"/>
              </w:rPr>
              <w:t>Regulation</w:t>
            </w:r>
          </w:p>
        </w:tc>
        <w:tc>
          <w:tcPr>
            <w:tcW w:w="3253" w:type="dxa"/>
          </w:tcPr>
          <w:p w14:paraId="60FCAF70" w14:textId="77777777" w:rsidR="00857143" w:rsidRPr="00A76818" w:rsidRDefault="008571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Under the ESG program, income eligibility is based on the HUD income limits in effect at the time of income verification. Income eligibility is not based on HUD income limits that correspond with the grant year under which the ESG funds were awarded.</w:t>
            </w:r>
          </w:p>
        </w:tc>
        <w:tc>
          <w:tcPr>
            <w:tcW w:w="3254" w:type="dxa"/>
          </w:tcPr>
          <w:p w14:paraId="58E33680" w14:textId="77777777" w:rsidR="00857143" w:rsidRPr="00A76818" w:rsidRDefault="008571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Under the ESG program, income eligibility is based on the HUD income limits in effect at the time of income verification. Income eligibility is not based on HUD income limits that correspond with the grant year under which the ESG funds were awarded.</w:t>
            </w:r>
          </w:p>
        </w:tc>
        <w:tc>
          <w:tcPr>
            <w:tcW w:w="3253" w:type="dxa"/>
          </w:tcPr>
          <w:p w14:paraId="1FAEAC09" w14:textId="596377E6" w:rsidR="00857143" w:rsidRPr="00A76818" w:rsidRDefault="008571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HUD does not mandate that</w:t>
            </w:r>
            <w:r w:rsidR="000228F0" w:rsidRPr="00A76818">
              <w:rPr>
                <w:rFonts w:ascii="Calibri" w:hAnsi="Calibri" w:cs="Calibri"/>
                <w:color w:val="000000" w:themeColor="text1"/>
                <w:sz w:val="22"/>
                <w:szCs w:val="22"/>
              </w:rPr>
              <w:t xml:space="preserve"> CoC-funded</w:t>
            </w:r>
            <w:r w:rsidRPr="00A76818">
              <w:rPr>
                <w:rFonts w:ascii="Calibri" w:hAnsi="Calibri" w:cs="Calibri"/>
                <w:color w:val="000000" w:themeColor="text1"/>
                <w:sz w:val="22"/>
                <w:szCs w:val="22"/>
              </w:rPr>
              <w:t xml:space="preserve"> RRH recipients meet income limits and thus provides no specific regulations.</w:t>
            </w:r>
          </w:p>
        </w:tc>
        <w:tc>
          <w:tcPr>
            <w:tcW w:w="3254" w:type="dxa"/>
          </w:tcPr>
          <w:p w14:paraId="0B0A9F74" w14:textId="07445C64" w:rsidR="00857143" w:rsidRPr="00A76818" w:rsidRDefault="008571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 xml:space="preserve">The state has not mandated any income </w:t>
            </w:r>
            <w:r w:rsidR="000228F0" w:rsidRPr="00A76818">
              <w:rPr>
                <w:rFonts w:ascii="Calibri" w:hAnsi="Calibri" w:cs="Calibri"/>
                <w:color w:val="000000" w:themeColor="text1"/>
                <w:sz w:val="22"/>
                <w:szCs w:val="22"/>
              </w:rPr>
              <w:t>limits</w:t>
            </w:r>
            <w:r w:rsidRPr="00A76818">
              <w:rPr>
                <w:rFonts w:ascii="Calibri" w:hAnsi="Calibri" w:cs="Calibri"/>
                <w:color w:val="000000" w:themeColor="text1"/>
                <w:sz w:val="22"/>
                <w:szCs w:val="22"/>
              </w:rPr>
              <w:t>. This is up to local discretion.</w:t>
            </w:r>
          </w:p>
        </w:tc>
      </w:tr>
      <w:tr w:rsidR="00EF1214" w:rsidRPr="00A76818" w14:paraId="1878CD50" w14:textId="77777777" w:rsidTr="00EF1214">
        <w:trPr>
          <w:trHeight w:val="1057"/>
        </w:trPr>
        <w:tc>
          <w:tcPr>
            <w:cnfStyle w:val="001000000000" w:firstRow="0" w:lastRow="0" w:firstColumn="1" w:lastColumn="0" w:oddVBand="0" w:evenVBand="0" w:oddHBand="0" w:evenHBand="0" w:firstRowFirstColumn="0" w:firstRowLastColumn="0" w:lastRowFirstColumn="0" w:lastRowLastColumn="0"/>
            <w:tcW w:w="1314" w:type="dxa"/>
            <w:textDirection w:val="btLr"/>
            <w:vAlign w:val="center"/>
          </w:tcPr>
          <w:p w14:paraId="18415B31" w14:textId="41B4E3CE" w:rsidR="00EF1214" w:rsidRPr="00A76818" w:rsidRDefault="00EF1214" w:rsidP="00A76818">
            <w:pPr>
              <w:pStyle w:val="ListParagraph"/>
              <w:ind w:left="113" w:right="113"/>
              <w:jc w:val="center"/>
              <w:rPr>
                <w:rFonts w:ascii="Calibri" w:hAnsi="Calibri"/>
                <w:b w:val="0"/>
                <w:bCs w:val="0"/>
                <w:color w:val="000000" w:themeColor="text1"/>
                <w:sz w:val="22"/>
                <w:szCs w:val="22"/>
              </w:rPr>
            </w:pPr>
            <w:r w:rsidRPr="00A76818">
              <w:rPr>
                <w:rFonts w:ascii="Calibri" w:hAnsi="Calibri"/>
                <w:b w:val="0"/>
                <w:bCs w:val="0"/>
                <w:color w:val="000000" w:themeColor="text1"/>
                <w:sz w:val="22"/>
                <w:szCs w:val="22"/>
              </w:rPr>
              <w:t>Helpful Links</w:t>
            </w:r>
          </w:p>
        </w:tc>
        <w:tc>
          <w:tcPr>
            <w:tcW w:w="13014" w:type="dxa"/>
            <w:gridSpan w:val="4"/>
          </w:tcPr>
          <w:p w14:paraId="154393B7" w14:textId="77777777" w:rsidR="00EF1214" w:rsidRPr="00A76818" w:rsidRDefault="00EF1214"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HUD Income Limits:</w:t>
            </w:r>
          </w:p>
          <w:p w14:paraId="5C868E00" w14:textId="77777777" w:rsidR="00EF1214" w:rsidRPr="00A76818" w:rsidRDefault="00000000"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hyperlink r:id="rId31" w:history="1">
              <w:r w:rsidR="00EF1214" w:rsidRPr="00A76818">
                <w:rPr>
                  <w:rStyle w:val="Hyperlink"/>
                  <w:rFonts w:ascii="Calibri" w:hAnsi="Calibri" w:cs="Calibri"/>
                  <w:color w:val="000000" w:themeColor="text1"/>
                  <w:sz w:val="22"/>
                  <w:szCs w:val="22"/>
                </w:rPr>
                <w:t>https://www.huduser.gov/portal/datasets/il.html</w:t>
              </w:r>
            </w:hyperlink>
          </w:p>
          <w:p w14:paraId="4531899B" w14:textId="31026A85" w:rsidR="00EF1214" w:rsidRPr="00A76818" w:rsidRDefault="00EF1214"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p>
        </w:tc>
      </w:tr>
    </w:tbl>
    <w:p w14:paraId="3C26B06F" w14:textId="77777777" w:rsidR="00A76818" w:rsidRPr="00A76818" w:rsidRDefault="00A76818" w:rsidP="000604EE">
      <w:pPr>
        <w:contextualSpacing/>
        <w:rPr>
          <w:rFonts w:ascii="Calibri" w:hAnsi="Calibri" w:cs="Calibri"/>
          <w:color w:val="000000" w:themeColor="text1"/>
          <w:sz w:val="22"/>
          <w:szCs w:val="22"/>
        </w:rPr>
      </w:pPr>
    </w:p>
    <w:p w14:paraId="7E88BCD3" w14:textId="682A5C60" w:rsidR="00A76818" w:rsidRPr="00A76818" w:rsidRDefault="00A76818" w:rsidP="000604EE">
      <w:pPr>
        <w:contextualSpacing/>
        <w:rPr>
          <w:rFonts w:ascii="Calibri" w:hAnsi="Calibri" w:cs="Calibri"/>
          <w:i/>
          <w:iCs/>
          <w:color w:val="000000" w:themeColor="text1"/>
          <w:sz w:val="22"/>
          <w:szCs w:val="22"/>
        </w:rPr>
      </w:pPr>
      <w:r w:rsidRPr="00A76818">
        <w:rPr>
          <w:rFonts w:ascii="Calibri" w:hAnsi="Calibri" w:cs="Calibri"/>
          <w:i/>
          <w:iCs/>
          <w:color w:val="000000" w:themeColor="text1"/>
          <w:sz w:val="22"/>
          <w:szCs w:val="22"/>
        </w:rPr>
        <w:t>(</w:t>
      </w:r>
      <w:proofErr w:type="gramStart"/>
      <w:r w:rsidRPr="00A76818">
        <w:rPr>
          <w:rFonts w:ascii="Calibri" w:hAnsi="Calibri" w:cs="Calibri"/>
          <w:i/>
          <w:iCs/>
          <w:color w:val="000000" w:themeColor="text1"/>
          <w:sz w:val="22"/>
          <w:szCs w:val="22"/>
        </w:rPr>
        <w:t>continues</w:t>
      </w:r>
      <w:proofErr w:type="gramEnd"/>
      <w:r w:rsidRPr="00A76818">
        <w:rPr>
          <w:rFonts w:ascii="Calibri" w:hAnsi="Calibri" w:cs="Calibri"/>
          <w:i/>
          <w:iCs/>
          <w:color w:val="000000" w:themeColor="text1"/>
          <w:sz w:val="22"/>
          <w:szCs w:val="22"/>
        </w:rPr>
        <w:t xml:space="preserve"> on next page)</w:t>
      </w:r>
    </w:p>
    <w:tbl>
      <w:tblPr>
        <w:tblStyle w:val="GridTable4-Accent1"/>
        <w:tblpPr w:leftFromText="180" w:rightFromText="180" w:horzAnchor="page" w:tblpX="765" w:tblpY="-764"/>
        <w:tblW w:w="14328" w:type="dxa"/>
        <w:tblLayout w:type="fixed"/>
        <w:tblLook w:val="04A0" w:firstRow="1" w:lastRow="0" w:firstColumn="1" w:lastColumn="0" w:noHBand="0" w:noVBand="1"/>
      </w:tblPr>
      <w:tblGrid>
        <w:gridCol w:w="1314"/>
        <w:gridCol w:w="3253"/>
        <w:gridCol w:w="3254"/>
        <w:gridCol w:w="3253"/>
        <w:gridCol w:w="3254"/>
      </w:tblGrid>
      <w:tr w:rsidR="00EF1214" w:rsidRPr="00A76818" w14:paraId="3BBDCC0F" w14:textId="77777777" w:rsidTr="00EF1214">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314" w:type="dxa"/>
            <w:textDirection w:val="btLr"/>
            <w:vAlign w:val="center"/>
          </w:tcPr>
          <w:p w14:paraId="606F4EBF" w14:textId="77777777" w:rsidR="00EF1214" w:rsidRPr="00A76818" w:rsidRDefault="00EF1214" w:rsidP="000604EE">
            <w:pPr>
              <w:pStyle w:val="ListParagraph"/>
              <w:ind w:left="113" w:right="113"/>
              <w:rPr>
                <w:rFonts w:ascii="Calibri" w:hAnsi="Calibri"/>
                <w:b w:val="0"/>
                <w:bCs w:val="0"/>
                <w:color w:val="000000" w:themeColor="text1"/>
                <w:sz w:val="22"/>
                <w:szCs w:val="22"/>
              </w:rPr>
            </w:pPr>
          </w:p>
        </w:tc>
        <w:tc>
          <w:tcPr>
            <w:tcW w:w="3253" w:type="dxa"/>
          </w:tcPr>
          <w:p w14:paraId="292CE4F5" w14:textId="246DB35D" w:rsidR="00EF1214" w:rsidRPr="00A76818" w:rsidRDefault="00EF1214" w:rsidP="00A7681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themeColor="text1"/>
                <w:sz w:val="22"/>
                <w:szCs w:val="22"/>
              </w:rPr>
            </w:pPr>
            <w:r w:rsidRPr="00A76818">
              <w:rPr>
                <w:rFonts w:ascii="Calibri" w:hAnsi="Calibri"/>
                <w:b w:val="0"/>
                <w:bCs w:val="0"/>
                <w:color w:val="000000" w:themeColor="text1"/>
                <w:sz w:val="22"/>
                <w:szCs w:val="22"/>
              </w:rPr>
              <w:t>ESG-</w:t>
            </w:r>
            <w:r w:rsidR="00807F91">
              <w:rPr>
                <w:rFonts w:ascii="Calibri" w:hAnsi="Calibri"/>
                <w:b w:val="0"/>
                <w:bCs w:val="0"/>
                <w:color w:val="000000" w:themeColor="text1"/>
                <w:sz w:val="22"/>
                <w:szCs w:val="22"/>
              </w:rPr>
              <w:t>HP</w:t>
            </w:r>
          </w:p>
        </w:tc>
        <w:tc>
          <w:tcPr>
            <w:tcW w:w="3254" w:type="dxa"/>
          </w:tcPr>
          <w:p w14:paraId="3A58503D" w14:textId="18BCC862" w:rsidR="00EF1214" w:rsidRPr="00A76818" w:rsidRDefault="00EF1214" w:rsidP="00A7681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themeColor="text1"/>
                <w:sz w:val="22"/>
                <w:szCs w:val="22"/>
              </w:rPr>
            </w:pPr>
            <w:r w:rsidRPr="00A76818">
              <w:rPr>
                <w:rFonts w:ascii="Calibri" w:hAnsi="Calibri"/>
                <w:b w:val="0"/>
                <w:bCs w:val="0"/>
                <w:color w:val="000000" w:themeColor="text1"/>
                <w:sz w:val="22"/>
                <w:szCs w:val="22"/>
              </w:rPr>
              <w:t>ESG-RRH</w:t>
            </w:r>
          </w:p>
        </w:tc>
        <w:tc>
          <w:tcPr>
            <w:tcW w:w="3253" w:type="dxa"/>
          </w:tcPr>
          <w:p w14:paraId="690B07B4" w14:textId="1D6012DF" w:rsidR="00EF1214" w:rsidRPr="00A76818" w:rsidRDefault="00EF1214" w:rsidP="00A7681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themeColor="text1"/>
                <w:sz w:val="22"/>
                <w:szCs w:val="22"/>
              </w:rPr>
            </w:pPr>
            <w:r w:rsidRPr="00A76818">
              <w:rPr>
                <w:rFonts w:ascii="Calibri" w:hAnsi="Calibri"/>
                <w:b w:val="0"/>
                <w:bCs w:val="0"/>
                <w:color w:val="000000" w:themeColor="text1"/>
                <w:sz w:val="22"/>
                <w:szCs w:val="22"/>
              </w:rPr>
              <w:t>CoC-RRH</w:t>
            </w:r>
          </w:p>
        </w:tc>
        <w:tc>
          <w:tcPr>
            <w:tcW w:w="3254" w:type="dxa"/>
          </w:tcPr>
          <w:p w14:paraId="67337288" w14:textId="740FD708" w:rsidR="00EF1214" w:rsidRPr="00A76818" w:rsidRDefault="00EF1214" w:rsidP="00A7681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themeColor="text1"/>
                <w:sz w:val="22"/>
                <w:szCs w:val="22"/>
              </w:rPr>
            </w:pPr>
            <w:r w:rsidRPr="00A76818">
              <w:rPr>
                <w:rFonts w:ascii="Calibri" w:hAnsi="Calibri"/>
                <w:b w:val="0"/>
                <w:bCs w:val="0"/>
                <w:color w:val="000000" w:themeColor="text1"/>
                <w:sz w:val="22"/>
                <w:szCs w:val="22"/>
              </w:rPr>
              <w:t>CESH-</w:t>
            </w:r>
            <w:r w:rsidR="00807F91">
              <w:rPr>
                <w:rFonts w:ascii="Calibri" w:hAnsi="Calibri"/>
                <w:b w:val="0"/>
                <w:bCs w:val="0"/>
                <w:color w:val="000000" w:themeColor="text1"/>
                <w:sz w:val="22"/>
                <w:szCs w:val="22"/>
              </w:rPr>
              <w:t>HP</w:t>
            </w:r>
          </w:p>
        </w:tc>
      </w:tr>
      <w:tr w:rsidR="00442BDB" w:rsidRPr="00A76818" w14:paraId="500E01C6" w14:textId="77777777" w:rsidTr="00012F43">
        <w:trPr>
          <w:cnfStyle w:val="000000100000" w:firstRow="0" w:lastRow="0" w:firstColumn="0" w:lastColumn="0" w:oddVBand="0" w:evenVBand="0" w:oddHBand="1" w:evenHBand="0" w:firstRowFirstColumn="0" w:firstRowLastColumn="0" w:lastRowFirstColumn="0" w:lastRowLastColumn="0"/>
          <w:trHeight w:val="2236"/>
        </w:trPr>
        <w:tc>
          <w:tcPr>
            <w:cnfStyle w:val="001000000000" w:firstRow="0" w:lastRow="0" w:firstColumn="1" w:lastColumn="0" w:oddVBand="0" w:evenVBand="0" w:oddHBand="0" w:evenHBand="0" w:firstRowFirstColumn="0" w:firstRowLastColumn="0" w:lastRowFirstColumn="0" w:lastRowLastColumn="0"/>
            <w:tcW w:w="1314" w:type="dxa"/>
            <w:textDirection w:val="btLr"/>
            <w:vAlign w:val="center"/>
          </w:tcPr>
          <w:p w14:paraId="0EE742B7" w14:textId="77777777" w:rsidR="00857143" w:rsidRPr="00A76818" w:rsidRDefault="00857143" w:rsidP="00A76818">
            <w:pPr>
              <w:pStyle w:val="ListParagraph"/>
              <w:ind w:left="113" w:right="113"/>
              <w:jc w:val="center"/>
              <w:rPr>
                <w:rFonts w:ascii="Calibri" w:hAnsi="Calibri"/>
                <w:b w:val="0"/>
                <w:bCs w:val="0"/>
                <w:color w:val="000000" w:themeColor="text1"/>
                <w:sz w:val="22"/>
                <w:szCs w:val="22"/>
              </w:rPr>
            </w:pPr>
            <w:r w:rsidRPr="00A76818">
              <w:rPr>
                <w:rFonts w:ascii="Calibri" w:hAnsi="Calibri"/>
                <w:b w:val="0"/>
                <w:bCs w:val="0"/>
                <w:color w:val="000000" w:themeColor="text1"/>
                <w:sz w:val="22"/>
                <w:szCs w:val="22"/>
              </w:rPr>
              <w:t>Type of Assistance</w:t>
            </w:r>
          </w:p>
        </w:tc>
        <w:tc>
          <w:tcPr>
            <w:tcW w:w="3253" w:type="dxa"/>
          </w:tcPr>
          <w:p w14:paraId="48E026D0" w14:textId="77777777" w:rsidR="00443054" w:rsidRPr="00A76818" w:rsidRDefault="00443054">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Short-term rental assistance (up to 3 months)</w:t>
            </w:r>
          </w:p>
          <w:p w14:paraId="58F70CC5" w14:textId="10542E8F" w:rsidR="00857143" w:rsidRPr="00A76818" w:rsidRDefault="00443054">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Rental arrears (one-time payment of up to 6 months of rent in arrears, including any late fees on those arrears)</w:t>
            </w:r>
          </w:p>
        </w:tc>
        <w:tc>
          <w:tcPr>
            <w:tcW w:w="3254" w:type="dxa"/>
          </w:tcPr>
          <w:p w14:paraId="4C3B5F35" w14:textId="77777777" w:rsidR="00443054" w:rsidRPr="00A76818" w:rsidRDefault="00443054">
            <w:pPr>
              <w:pStyle w:val="ListParagraph"/>
              <w:numPr>
                <w:ilvl w:val="0"/>
                <w:numId w:val="11"/>
              </w:numPr>
              <w:ind w:left="36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Short-term rental assistance (up to 3 months)</w:t>
            </w:r>
          </w:p>
          <w:p w14:paraId="1CC062A0" w14:textId="5E817D96" w:rsidR="00443054" w:rsidRPr="00A76818" w:rsidRDefault="00443054">
            <w:pPr>
              <w:pStyle w:val="ListParagraph"/>
              <w:numPr>
                <w:ilvl w:val="0"/>
                <w:numId w:val="10"/>
              </w:numPr>
              <w:ind w:left="36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Medium-term rental assistance (4 to 18 months)</w:t>
            </w:r>
          </w:p>
          <w:p w14:paraId="18B1B471" w14:textId="1B945CF5" w:rsidR="00857143" w:rsidRPr="00A76818" w:rsidRDefault="00443054">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Rental arrears (one-time payment of up to 6 months of rent in arrears, including any late fees on those arrears)</w:t>
            </w:r>
          </w:p>
        </w:tc>
        <w:tc>
          <w:tcPr>
            <w:tcW w:w="3253" w:type="dxa"/>
          </w:tcPr>
          <w:p w14:paraId="69012DD2" w14:textId="4ECB720A" w:rsidR="00443054" w:rsidRPr="00A76818" w:rsidRDefault="00443054">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Short-term rental assistance (up to 3 months)</w:t>
            </w:r>
          </w:p>
          <w:p w14:paraId="0623EFDA" w14:textId="40D55254" w:rsidR="00443054" w:rsidRPr="00A76818" w:rsidRDefault="00443054">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Medium-term rental assistance (4 to 24 months)</w:t>
            </w:r>
          </w:p>
          <w:p w14:paraId="7464027A" w14:textId="77777777" w:rsidR="00857143" w:rsidRPr="00A76818" w:rsidRDefault="008571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p>
        </w:tc>
        <w:tc>
          <w:tcPr>
            <w:tcW w:w="3254" w:type="dxa"/>
          </w:tcPr>
          <w:p w14:paraId="3BC001B3" w14:textId="40C059F9" w:rsidR="00857143" w:rsidRPr="00A76818" w:rsidRDefault="00012F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No state or local mandates at this time</w:t>
            </w:r>
          </w:p>
        </w:tc>
      </w:tr>
      <w:tr w:rsidR="00370D50" w:rsidRPr="00A76818" w14:paraId="6E11E3BB" w14:textId="77777777" w:rsidTr="00370D50">
        <w:trPr>
          <w:trHeight w:val="877"/>
        </w:trPr>
        <w:tc>
          <w:tcPr>
            <w:cnfStyle w:val="001000000000" w:firstRow="0" w:lastRow="0" w:firstColumn="1" w:lastColumn="0" w:oddVBand="0" w:evenVBand="0" w:oddHBand="0" w:evenHBand="0" w:firstRowFirstColumn="0" w:firstRowLastColumn="0" w:lastRowFirstColumn="0" w:lastRowLastColumn="0"/>
            <w:tcW w:w="1314" w:type="dxa"/>
            <w:textDirection w:val="btLr"/>
            <w:vAlign w:val="center"/>
          </w:tcPr>
          <w:p w14:paraId="68A41C9D" w14:textId="30E1DA8A" w:rsidR="00370D50" w:rsidRPr="00A76818" w:rsidRDefault="00370D50" w:rsidP="00A76818">
            <w:pPr>
              <w:pStyle w:val="ListParagraph"/>
              <w:ind w:left="113" w:right="113"/>
              <w:jc w:val="center"/>
              <w:rPr>
                <w:rFonts w:ascii="Calibri" w:hAnsi="Calibri"/>
                <w:b w:val="0"/>
                <w:bCs w:val="0"/>
                <w:color w:val="000000" w:themeColor="text1"/>
                <w:sz w:val="22"/>
                <w:szCs w:val="22"/>
              </w:rPr>
            </w:pPr>
            <w:r w:rsidRPr="00A76818">
              <w:rPr>
                <w:rFonts w:ascii="Calibri" w:hAnsi="Calibri"/>
                <w:b w:val="0"/>
                <w:bCs w:val="0"/>
                <w:color w:val="000000" w:themeColor="text1"/>
                <w:sz w:val="22"/>
                <w:szCs w:val="22"/>
              </w:rPr>
              <w:t>Model</w:t>
            </w:r>
          </w:p>
        </w:tc>
        <w:tc>
          <w:tcPr>
            <w:tcW w:w="3253" w:type="dxa"/>
          </w:tcPr>
          <w:p w14:paraId="4E8B2B05" w14:textId="77777777" w:rsidR="00370D50" w:rsidRPr="00A76818" w:rsidRDefault="00370D50">
            <w:pPr>
              <w:numPr>
                <w:ilvl w:val="0"/>
                <w:numId w:val="44"/>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Tenant-based rental assistance</w:t>
            </w:r>
          </w:p>
          <w:p w14:paraId="7AEA9437" w14:textId="4BFE2D1E" w:rsidR="00370D50" w:rsidRPr="00A76818" w:rsidRDefault="00370D5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Project-based rental assistance</w:t>
            </w:r>
          </w:p>
        </w:tc>
        <w:tc>
          <w:tcPr>
            <w:tcW w:w="3254" w:type="dxa"/>
          </w:tcPr>
          <w:p w14:paraId="3137C551" w14:textId="77777777" w:rsidR="00370D50" w:rsidRPr="00A76818" w:rsidRDefault="00370D50">
            <w:pPr>
              <w:numPr>
                <w:ilvl w:val="0"/>
                <w:numId w:val="12"/>
              </w:numPr>
              <w:ind w:left="364"/>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Tenant-based rental assistance</w:t>
            </w:r>
          </w:p>
          <w:p w14:paraId="1444F260" w14:textId="439970D1" w:rsidR="00370D50" w:rsidRPr="00A76818" w:rsidRDefault="00370D50">
            <w:pPr>
              <w:pStyle w:val="ListParagraph"/>
              <w:numPr>
                <w:ilvl w:val="0"/>
                <w:numId w:val="11"/>
              </w:numPr>
              <w:ind w:left="3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Project-based rental assistance</w:t>
            </w:r>
          </w:p>
        </w:tc>
        <w:tc>
          <w:tcPr>
            <w:tcW w:w="3253" w:type="dxa"/>
          </w:tcPr>
          <w:p w14:paraId="34131209" w14:textId="7089EB33" w:rsidR="00370D50" w:rsidRPr="00A76818" w:rsidRDefault="00370D5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Tenant-based rental assistance only</w:t>
            </w:r>
          </w:p>
        </w:tc>
        <w:tc>
          <w:tcPr>
            <w:tcW w:w="3254" w:type="dxa"/>
          </w:tcPr>
          <w:p w14:paraId="5AA7AFD8" w14:textId="7610E53B" w:rsidR="00370D50" w:rsidRPr="00A76818" w:rsidRDefault="00370D50"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No state or local mandates at this time</w:t>
            </w:r>
          </w:p>
        </w:tc>
      </w:tr>
      <w:tr w:rsidR="00442BDB" w:rsidRPr="00A76818" w14:paraId="0DE1E74A" w14:textId="77777777" w:rsidTr="00012F43">
        <w:trPr>
          <w:cnfStyle w:val="000000100000" w:firstRow="0" w:lastRow="0" w:firstColumn="0" w:lastColumn="0" w:oddVBand="0" w:evenVBand="0" w:oddHBand="1" w:evenHBand="0" w:firstRowFirstColumn="0" w:firstRowLastColumn="0" w:lastRowFirstColumn="0" w:lastRowLastColumn="0"/>
          <w:trHeight w:val="2236"/>
        </w:trPr>
        <w:tc>
          <w:tcPr>
            <w:cnfStyle w:val="001000000000" w:firstRow="0" w:lastRow="0" w:firstColumn="1" w:lastColumn="0" w:oddVBand="0" w:evenVBand="0" w:oddHBand="0" w:evenHBand="0" w:firstRowFirstColumn="0" w:firstRowLastColumn="0" w:lastRowFirstColumn="0" w:lastRowLastColumn="0"/>
            <w:tcW w:w="1314" w:type="dxa"/>
            <w:textDirection w:val="btLr"/>
            <w:vAlign w:val="center"/>
          </w:tcPr>
          <w:p w14:paraId="49D92826" w14:textId="7CF86146" w:rsidR="00012F43" w:rsidRPr="00A76818" w:rsidRDefault="00012F43" w:rsidP="00A76818">
            <w:pPr>
              <w:pStyle w:val="ListParagraph"/>
              <w:ind w:left="113" w:right="113"/>
              <w:jc w:val="center"/>
              <w:rPr>
                <w:rFonts w:ascii="Calibri" w:hAnsi="Calibri"/>
                <w:b w:val="0"/>
                <w:bCs w:val="0"/>
                <w:color w:val="000000" w:themeColor="text1"/>
                <w:sz w:val="22"/>
                <w:szCs w:val="22"/>
              </w:rPr>
            </w:pPr>
            <w:r w:rsidRPr="00A76818">
              <w:rPr>
                <w:rFonts w:ascii="Calibri" w:hAnsi="Calibri"/>
                <w:b w:val="0"/>
                <w:bCs w:val="0"/>
                <w:color w:val="000000" w:themeColor="text1"/>
                <w:sz w:val="22"/>
                <w:szCs w:val="22"/>
              </w:rPr>
              <w:t>Eligible Costs</w:t>
            </w:r>
          </w:p>
        </w:tc>
        <w:tc>
          <w:tcPr>
            <w:tcW w:w="3253" w:type="dxa"/>
          </w:tcPr>
          <w:p w14:paraId="047F41A9" w14:textId="77777777" w:rsidR="00012F43" w:rsidRPr="00A76818" w:rsidRDefault="00012F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Financial assistance costs:</w:t>
            </w:r>
          </w:p>
          <w:p w14:paraId="2106932A" w14:textId="77777777" w:rsidR="00012F43" w:rsidRPr="00A76818" w:rsidRDefault="00012F43">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Rental application fees</w:t>
            </w:r>
          </w:p>
          <w:p w14:paraId="14487087" w14:textId="77777777" w:rsidR="00012F43" w:rsidRPr="00A76818" w:rsidRDefault="00012F43">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 xml:space="preserve">Security deposits (up to 2 months) </w:t>
            </w:r>
          </w:p>
          <w:p w14:paraId="3A119C59" w14:textId="77777777" w:rsidR="00012F43" w:rsidRPr="00A76818" w:rsidRDefault="00012F43">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Last month’s rent</w:t>
            </w:r>
          </w:p>
          <w:p w14:paraId="287C7936" w14:textId="77777777" w:rsidR="00012F43" w:rsidRPr="00A76818" w:rsidRDefault="00012F43">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 xml:space="preserve">Utility deposits and payments (up to 24 months, including up to 6 months for payments in arrears) </w:t>
            </w:r>
          </w:p>
          <w:p w14:paraId="0331B688" w14:textId="77777777" w:rsidR="00012F43" w:rsidRPr="00A76818" w:rsidRDefault="00012F43">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Moving costs</w:t>
            </w:r>
          </w:p>
          <w:p w14:paraId="2AE603FC" w14:textId="24D7BB1B" w:rsidR="00370D50" w:rsidRPr="00A76818" w:rsidRDefault="00370D50" w:rsidP="000604EE">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p>
        </w:tc>
        <w:tc>
          <w:tcPr>
            <w:tcW w:w="3254" w:type="dxa"/>
          </w:tcPr>
          <w:p w14:paraId="2C2D21E7" w14:textId="77777777" w:rsidR="00012F43" w:rsidRPr="00A76818" w:rsidRDefault="00012F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Financial assistance costs:</w:t>
            </w:r>
          </w:p>
          <w:p w14:paraId="5A7A5A75" w14:textId="77777777" w:rsidR="00012F43" w:rsidRPr="00A76818" w:rsidRDefault="00012F43">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Rental application fees</w:t>
            </w:r>
          </w:p>
          <w:p w14:paraId="22ED158B" w14:textId="77777777" w:rsidR="00012F43" w:rsidRPr="00A76818" w:rsidRDefault="00012F43">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 xml:space="preserve">Security deposits (up to 2 months) </w:t>
            </w:r>
          </w:p>
          <w:p w14:paraId="7C604391" w14:textId="77777777" w:rsidR="00012F43" w:rsidRPr="00A76818" w:rsidRDefault="00012F43">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Last month’s rent</w:t>
            </w:r>
          </w:p>
          <w:p w14:paraId="7BA6558D" w14:textId="77777777" w:rsidR="00012F43" w:rsidRPr="00A76818" w:rsidRDefault="00012F43">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 xml:space="preserve">Utility deposits and payments (up to 24 months, including up to 6 months for payments in arrears) </w:t>
            </w:r>
          </w:p>
          <w:p w14:paraId="5533ADA4" w14:textId="7B4E086E" w:rsidR="00012F43" w:rsidRPr="00A76818" w:rsidRDefault="00012F43">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Moving costs</w:t>
            </w:r>
          </w:p>
        </w:tc>
        <w:tc>
          <w:tcPr>
            <w:tcW w:w="3253" w:type="dxa"/>
          </w:tcPr>
          <w:p w14:paraId="1BC71967" w14:textId="77777777" w:rsidR="00012F43" w:rsidRPr="00A76818" w:rsidRDefault="00012F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Financial assistance costs:</w:t>
            </w:r>
          </w:p>
          <w:p w14:paraId="62719E95" w14:textId="77777777" w:rsidR="00012F43" w:rsidRPr="00A76818" w:rsidRDefault="00012F43">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 xml:space="preserve">Security deposit </w:t>
            </w:r>
          </w:p>
          <w:p w14:paraId="210EA533" w14:textId="77777777" w:rsidR="00012F43" w:rsidRPr="00A76818" w:rsidRDefault="00012F43">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 xml:space="preserve">First and last month’s rent </w:t>
            </w:r>
          </w:p>
          <w:p w14:paraId="5F271284" w14:textId="59B21CFB" w:rsidR="00012F43" w:rsidRPr="00A76818" w:rsidRDefault="00012F43">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r w:rsidRPr="00A76818">
              <w:rPr>
                <w:rFonts w:ascii="Calibri" w:hAnsi="Calibri"/>
                <w:color w:val="000000" w:themeColor="text1"/>
                <w:sz w:val="22"/>
                <w:szCs w:val="22"/>
              </w:rPr>
              <w:t>Property damage</w:t>
            </w:r>
          </w:p>
          <w:p w14:paraId="3A995747" w14:textId="04161B6F" w:rsidR="00012F43" w:rsidRPr="00A76818" w:rsidRDefault="00012F43" w:rsidP="000604EE">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rPr>
            </w:pPr>
          </w:p>
        </w:tc>
        <w:tc>
          <w:tcPr>
            <w:tcW w:w="3254" w:type="dxa"/>
          </w:tcPr>
          <w:p w14:paraId="27B60B72" w14:textId="2EB0679B" w:rsidR="00012F43" w:rsidRPr="00A76818" w:rsidRDefault="00012F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No state or local mandates at this tim</w:t>
            </w:r>
            <w:r w:rsidR="009A5531" w:rsidRPr="00A76818">
              <w:rPr>
                <w:rFonts w:ascii="Calibri" w:hAnsi="Calibri" w:cs="Calibri"/>
                <w:color w:val="000000" w:themeColor="text1"/>
                <w:sz w:val="22"/>
                <w:szCs w:val="22"/>
              </w:rPr>
              <w:t>e.</w:t>
            </w:r>
          </w:p>
        </w:tc>
      </w:tr>
      <w:tr w:rsidR="000228F0" w:rsidRPr="00A76818" w14:paraId="00CB4E40" w14:textId="77777777" w:rsidTr="00370D50">
        <w:trPr>
          <w:trHeight w:val="1228"/>
        </w:trPr>
        <w:tc>
          <w:tcPr>
            <w:cnfStyle w:val="001000000000" w:firstRow="0" w:lastRow="0" w:firstColumn="1" w:lastColumn="0" w:oddVBand="0" w:evenVBand="0" w:oddHBand="0" w:evenHBand="0" w:firstRowFirstColumn="0" w:firstRowLastColumn="0" w:lastRowFirstColumn="0" w:lastRowLastColumn="0"/>
            <w:tcW w:w="1314" w:type="dxa"/>
            <w:textDirection w:val="btLr"/>
            <w:vAlign w:val="center"/>
          </w:tcPr>
          <w:p w14:paraId="4466E94A" w14:textId="77777777" w:rsidR="00857143" w:rsidRPr="00A76818" w:rsidRDefault="00857143" w:rsidP="00A76818">
            <w:pPr>
              <w:pStyle w:val="ListParagraph"/>
              <w:ind w:left="113" w:right="113"/>
              <w:jc w:val="center"/>
              <w:rPr>
                <w:rFonts w:ascii="Calibri" w:hAnsi="Calibri"/>
                <w:b w:val="0"/>
                <w:bCs w:val="0"/>
                <w:color w:val="000000" w:themeColor="text1"/>
                <w:sz w:val="22"/>
                <w:szCs w:val="22"/>
              </w:rPr>
            </w:pPr>
            <w:r w:rsidRPr="00A76818">
              <w:rPr>
                <w:rFonts w:ascii="Calibri" w:hAnsi="Calibri"/>
                <w:b w:val="0"/>
                <w:bCs w:val="0"/>
                <w:color w:val="000000" w:themeColor="text1"/>
                <w:sz w:val="22"/>
                <w:szCs w:val="22"/>
              </w:rPr>
              <w:t>Duration of Assistance</w:t>
            </w:r>
          </w:p>
        </w:tc>
        <w:tc>
          <w:tcPr>
            <w:tcW w:w="3253" w:type="dxa"/>
          </w:tcPr>
          <w:p w14:paraId="3B1085FD" w14:textId="3E7EBC1A" w:rsidR="00857143" w:rsidRPr="00A76818" w:rsidRDefault="00857143"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 xml:space="preserve">Maximum of 3 months of assistance </w:t>
            </w:r>
            <w:r w:rsidR="00042BC0" w:rsidRPr="00A76818">
              <w:rPr>
                <w:rFonts w:ascii="Calibri" w:hAnsi="Calibri" w:cs="Calibri"/>
                <w:color w:val="000000" w:themeColor="text1"/>
                <w:sz w:val="22"/>
                <w:szCs w:val="22"/>
              </w:rPr>
              <w:t>[Local Requirement]</w:t>
            </w:r>
          </w:p>
        </w:tc>
        <w:tc>
          <w:tcPr>
            <w:tcW w:w="3254" w:type="dxa"/>
          </w:tcPr>
          <w:p w14:paraId="03F1070B" w14:textId="5BEFA943" w:rsidR="00857143" w:rsidRPr="00A76818" w:rsidRDefault="00042BC0"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Maximum of</w:t>
            </w:r>
            <w:r w:rsidR="00857143" w:rsidRPr="00A76818">
              <w:rPr>
                <w:rFonts w:ascii="Calibri" w:hAnsi="Calibri" w:cs="Calibri"/>
                <w:color w:val="000000" w:themeColor="text1"/>
                <w:sz w:val="22"/>
                <w:szCs w:val="22"/>
              </w:rPr>
              <w:t xml:space="preserve"> 18 months of assistance</w:t>
            </w:r>
            <w:r w:rsidR="009A5531" w:rsidRPr="00A76818">
              <w:rPr>
                <w:rFonts w:ascii="Calibri" w:hAnsi="Calibri" w:cs="Calibri"/>
                <w:color w:val="000000" w:themeColor="text1"/>
                <w:sz w:val="22"/>
                <w:szCs w:val="22"/>
              </w:rPr>
              <w:t xml:space="preserve"> over a </w:t>
            </w:r>
            <w:r w:rsidR="00C777B8" w:rsidRPr="00A76818">
              <w:rPr>
                <w:rFonts w:ascii="Calibri" w:hAnsi="Calibri" w:cs="Calibri"/>
                <w:color w:val="000000" w:themeColor="text1"/>
                <w:sz w:val="22"/>
                <w:szCs w:val="22"/>
              </w:rPr>
              <w:t>3-year</w:t>
            </w:r>
            <w:r w:rsidR="009A5531" w:rsidRPr="00A76818">
              <w:rPr>
                <w:rFonts w:ascii="Calibri" w:hAnsi="Calibri" w:cs="Calibri"/>
                <w:color w:val="000000" w:themeColor="text1"/>
                <w:sz w:val="22"/>
                <w:szCs w:val="22"/>
              </w:rPr>
              <w:t xml:space="preserve"> period</w:t>
            </w:r>
            <w:r w:rsidR="00857143" w:rsidRPr="00A76818">
              <w:rPr>
                <w:rFonts w:ascii="Calibri" w:hAnsi="Calibri" w:cs="Calibri"/>
                <w:color w:val="000000" w:themeColor="text1"/>
                <w:sz w:val="22"/>
                <w:szCs w:val="22"/>
              </w:rPr>
              <w:t xml:space="preserve"> </w:t>
            </w:r>
            <w:r w:rsidRPr="00A76818">
              <w:rPr>
                <w:rFonts w:ascii="Calibri" w:hAnsi="Calibri" w:cs="Calibri"/>
                <w:color w:val="000000" w:themeColor="text1"/>
                <w:sz w:val="22"/>
                <w:szCs w:val="22"/>
              </w:rPr>
              <w:t>[Local Requirement]</w:t>
            </w:r>
          </w:p>
        </w:tc>
        <w:tc>
          <w:tcPr>
            <w:tcW w:w="3253" w:type="dxa"/>
          </w:tcPr>
          <w:p w14:paraId="50A7D316" w14:textId="1F030657" w:rsidR="00857143" w:rsidRPr="00A76818" w:rsidRDefault="00857143"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Maximum of 24 months</w:t>
            </w:r>
            <w:r w:rsidR="000228F0" w:rsidRPr="00A76818">
              <w:rPr>
                <w:rFonts w:ascii="Calibri" w:hAnsi="Calibri" w:cs="Calibri"/>
                <w:color w:val="000000" w:themeColor="text1"/>
                <w:sz w:val="22"/>
                <w:szCs w:val="22"/>
              </w:rPr>
              <w:t xml:space="preserve"> </w:t>
            </w:r>
          </w:p>
        </w:tc>
        <w:tc>
          <w:tcPr>
            <w:tcW w:w="3254" w:type="dxa"/>
          </w:tcPr>
          <w:p w14:paraId="5159E5A2" w14:textId="4F1318D4" w:rsidR="00857143" w:rsidRPr="00A76818" w:rsidRDefault="00857143" w:rsidP="000604E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No state or local mandates at this time</w:t>
            </w:r>
          </w:p>
        </w:tc>
      </w:tr>
      <w:tr w:rsidR="00442BDB" w:rsidRPr="00A76818" w14:paraId="0B8BD27D" w14:textId="77777777" w:rsidTr="00A76818">
        <w:trPr>
          <w:cnfStyle w:val="000000100000" w:firstRow="0" w:lastRow="0" w:firstColumn="0" w:lastColumn="0" w:oddVBand="0" w:evenVBand="0" w:oddHBand="1" w:evenHBand="0" w:firstRowFirstColumn="0" w:firstRowLastColumn="0" w:lastRowFirstColumn="0" w:lastRowLastColumn="0"/>
          <w:trHeight w:val="1290"/>
        </w:trPr>
        <w:tc>
          <w:tcPr>
            <w:cnfStyle w:val="001000000000" w:firstRow="0" w:lastRow="0" w:firstColumn="1" w:lastColumn="0" w:oddVBand="0" w:evenVBand="0" w:oddHBand="0" w:evenHBand="0" w:firstRowFirstColumn="0" w:firstRowLastColumn="0" w:lastRowFirstColumn="0" w:lastRowLastColumn="0"/>
            <w:tcW w:w="1314" w:type="dxa"/>
            <w:textDirection w:val="btLr"/>
            <w:vAlign w:val="center"/>
          </w:tcPr>
          <w:p w14:paraId="12858AED" w14:textId="77777777" w:rsidR="00857143" w:rsidRPr="00A76818" w:rsidRDefault="00857143" w:rsidP="00A76818">
            <w:pPr>
              <w:pStyle w:val="ListParagraph"/>
              <w:ind w:left="113" w:right="113"/>
              <w:jc w:val="center"/>
              <w:rPr>
                <w:rFonts w:ascii="Calibri" w:hAnsi="Calibri"/>
                <w:b w:val="0"/>
                <w:bCs w:val="0"/>
                <w:color w:val="000000" w:themeColor="text1"/>
                <w:sz w:val="22"/>
                <w:szCs w:val="22"/>
              </w:rPr>
            </w:pPr>
            <w:r w:rsidRPr="00A76818">
              <w:rPr>
                <w:rFonts w:ascii="Calibri" w:hAnsi="Calibri"/>
                <w:b w:val="0"/>
                <w:bCs w:val="0"/>
                <w:color w:val="000000" w:themeColor="text1"/>
                <w:sz w:val="22"/>
                <w:szCs w:val="22"/>
              </w:rPr>
              <w:t>Frequency of Use</w:t>
            </w:r>
          </w:p>
        </w:tc>
        <w:tc>
          <w:tcPr>
            <w:tcW w:w="3253" w:type="dxa"/>
          </w:tcPr>
          <w:p w14:paraId="282F56E1" w14:textId="77777777" w:rsidR="00857143" w:rsidRPr="00A76818" w:rsidRDefault="008571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Once every 2 years</w:t>
            </w:r>
          </w:p>
        </w:tc>
        <w:tc>
          <w:tcPr>
            <w:tcW w:w="3254" w:type="dxa"/>
          </w:tcPr>
          <w:p w14:paraId="3B24BE3B" w14:textId="29003C19" w:rsidR="00857143" w:rsidRPr="00A76818" w:rsidRDefault="008571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Up to 18 months of assistance over a 3</w:t>
            </w:r>
            <w:r w:rsidR="00012F43" w:rsidRPr="00A76818">
              <w:rPr>
                <w:rFonts w:ascii="Calibri" w:hAnsi="Calibri" w:cs="Calibri"/>
                <w:color w:val="000000" w:themeColor="text1"/>
                <w:sz w:val="22"/>
                <w:szCs w:val="22"/>
              </w:rPr>
              <w:t>-</w:t>
            </w:r>
            <w:r w:rsidRPr="00A76818">
              <w:rPr>
                <w:rFonts w:ascii="Calibri" w:hAnsi="Calibri" w:cs="Calibri"/>
                <w:color w:val="000000" w:themeColor="text1"/>
                <w:sz w:val="22"/>
                <w:szCs w:val="22"/>
              </w:rPr>
              <w:t>year period</w:t>
            </w:r>
          </w:p>
        </w:tc>
        <w:tc>
          <w:tcPr>
            <w:tcW w:w="3253" w:type="dxa"/>
          </w:tcPr>
          <w:p w14:paraId="0BA2C061" w14:textId="0A4D35BC" w:rsidR="00857143" w:rsidRPr="00A76818" w:rsidRDefault="008571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 xml:space="preserve">Up to </w:t>
            </w:r>
            <w:r w:rsidR="00012F43" w:rsidRPr="00A76818">
              <w:rPr>
                <w:rFonts w:ascii="Calibri" w:hAnsi="Calibri" w:cs="Calibri"/>
                <w:color w:val="000000" w:themeColor="text1"/>
                <w:sz w:val="22"/>
                <w:szCs w:val="22"/>
              </w:rPr>
              <w:t>24</w:t>
            </w:r>
            <w:r w:rsidRPr="00A76818">
              <w:rPr>
                <w:rFonts w:ascii="Calibri" w:hAnsi="Calibri" w:cs="Calibri"/>
                <w:color w:val="000000" w:themeColor="text1"/>
                <w:sz w:val="22"/>
                <w:szCs w:val="22"/>
              </w:rPr>
              <w:t xml:space="preserve"> months of assistance over a 3</w:t>
            </w:r>
            <w:r w:rsidR="00012F43" w:rsidRPr="00A76818">
              <w:rPr>
                <w:rFonts w:ascii="Calibri" w:hAnsi="Calibri" w:cs="Calibri"/>
                <w:color w:val="000000" w:themeColor="text1"/>
                <w:sz w:val="22"/>
                <w:szCs w:val="22"/>
              </w:rPr>
              <w:t>-</w:t>
            </w:r>
            <w:r w:rsidRPr="00A76818">
              <w:rPr>
                <w:rFonts w:ascii="Calibri" w:hAnsi="Calibri" w:cs="Calibri"/>
                <w:color w:val="000000" w:themeColor="text1"/>
                <w:sz w:val="22"/>
                <w:szCs w:val="22"/>
              </w:rPr>
              <w:t>year period</w:t>
            </w:r>
          </w:p>
        </w:tc>
        <w:tc>
          <w:tcPr>
            <w:tcW w:w="3254" w:type="dxa"/>
          </w:tcPr>
          <w:p w14:paraId="7DBB0A6C" w14:textId="2AAC6B50" w:rsidR="00857143" w:rsidRPr="00A76818" w:rsidRDefault="00857143" w:rsidP="000604EE">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A76818">
              <w:rPr>
                <w:rFonts w:ascii="Calibri" w:hAnsi="Calibri" w:cs="Calibri"/>
                <w:color w:val="000000" w:themeColor="text1"/>
                <w:sz w:val="22"/>
                <w:szCs w:val="22"/>
              </w:rPr>
              <w:t>No state or local mandates at this time</w:t>
            </w:r>
          </w:p>
        </w:tc>
      </w:tr>
    </w:tbl>
    <w:p w14:paraId="2C4C8571" w14:textId="77777777" w:rsidR="0048650A" w:rsidRDefault="005F2D34" w:rsidP="00BE4733">
      <w:pPr>
        <w:ind w:left="-630"/>
        <w:contextualSpacing/>
        <w:rPr>
          <w:rFonts w:ascii="Calibri" w:hAnsi="Calibri" w:cs="Calibri"/>
          <w:color w:val="000000" w:themeColor="text1"/>
          <w:sz w:val="22"/>
          <w:szCs w:val="22"/>
        </w:rPr>
      </w:pPr>
      <w:r w:rsidRPr="00A76818">
        <w:rPr>
          <w:rFonts w:ascii="Calibri" w:hAnsi="Calibri" w:cs="Calibri"/>
          <w:color w:val="000000" w:themeColor="text1"/>
          <w:sz w:val="22"/>
          <w:szCs w:val="22"/>
        </w:rPr>
        <w:t>This chart captures both HUD mandates and locally established requirements. Any guidance/mandate that is not followed by “[Local Requirement]” is a HUD</w:t>
      </w:r>
      <w:r w:rsidR="00370D50" w:rsidRPr="00A76818">
        <w:rPr>
          <w:rFonts w:ascii="Calibri" w:hAnsi="Calibri" w:cs="Calibri"/>
          <w:color w:val="000000" w:themeColor="text1"/>
          <w:sz w:val="22"/>
          <w:szCs w:val="22"/>
        </w:rPr>
        <w:t xml:space="preserve"> or State</w:t>
      </w:r>
      <w:r w:rsidRPr="00A76818">
        <w:rPr>
          <w:rFonts w:ascii="Calibri" w:hAnsi="Calibri" w:cs="Calibri"/>
          <w:color w:val="000000" w:themeColor="text1"/>
          <w:sz w:val="22"/>
          <w:szCs w:val="22"/>
        </w:rPr>
        <w:t xml:space="preserve"> requirement</w:t>
      </w:r>
    </w:p>
    <w:p w14:paraId="625D8CD8" w14:textId="77777777" w:rsidR="00F80BC0" w:rsidRDefault="00F80BC0" w:rsidP="00BE4733">
      <w:pPr>
        <w:ind w:left="-630"/>
        <w:contextualSpacing/>
        <w:rPr>
          <w:rFonts w:ascii="Calibri" w:hAnsi="Calibri" w:cs="Calibri"/>
          <w:color w:val="000000" w:themeColor="text1"/>
          <w:sz w:val="22"/>
          <w:szCs w:val="22"/>
        </w:rPr>
      </w:pPr>
    </w:p>
    <w:p w14:paraId="7157245A" w14:textId="77777777" w:rsidR="00F80BC0" w:rsidRDefault="00F80BC0" w:rsidP="00BE4733">
      <w:pPr>
        <w:ind w:left="-630"/>
        <w:contextualSpacing/>
        <w:rPr>
          <w:rFonts w:ascii="Calibri" w:hAnsi="Calibri" w:cs="Calibri"/>
          <w:color w:val="000000" w:themeColor="text1"/>
          <w:sz w:val="22"/>
          <w:szCs w:val="22"/>
        </w:rPr>
      </w:pPr>
    </w:p>
    <w:p w14:paraId="0D58C5CB" w14:textId="77777777" w:rsidR="00F80BC0" w:rsidRDefault="00F80BC0" w:rsidP="00BE4733">
      <w:pPr>
        <w:ind w:left="-630"/>
        <w:contextualSpacing/>
        <w:rPr>
          <w:rFonts w:ascii="Calibri" w:hAnsi="Calibri" w:cs="Calibri"/>
          <w:color w:val="000000" w:themeColor="text1"/>
          <w:sz w:val="22"/>
          <w:szCs w:val="22"/>
        </w:rPr>
      </w:pPr>
    </w:p>
    <w:p w14:paraId="6032643B" w14:textId="77777777" w:rsidR="00F80BC0" w:rsidRDefault="00F80BC0" w:rsidP="00BE4733">
      <w:pPr>
        <w:ind w:left="-630"/>
        <w:contextualSpacing/>
        <w:rPr>
          <w:rFonts w:ascii="Calibri" w:hAnsi="Calibri" w:cs="Calibri"/>
          <w:color w:val="000000" w:themeColor="text1"/>
          <w:sz w:val="22"/>
          <w:szCs w:val="22"/>
        </w:rPr>
      </w:pPr>
    </w:p>
    <w:p w14:paraId="02E7F17E" w14:textId="77777777" w:rsidR="00F80BC0" w:rsidRDefault="00F80BC0" w:rsidP="00BE4733">
      <w:pPr>
        <w:ind w:left="-630"/>
        <w:contextualSpacing/>
        <w:rPr>
          <w:rFonts w:ascii="Calibri" w:hAnsi="Calibri" w:cs="Calibri"/>
          <w:color w:val="000000" w:themeColor="text1"/>
          <w:sz w:val="22"/>
          <w:szCs w:val="22"/>
        </w:rPr>
      </w:pPr>
    </w:p>
    <w:p w14:paraId="17281C7C" w14:textId="77777777" w:rsidR="00F80BC0" w:rsidRPr="00FB4A55" w:rsidRDefault="00F80BC0" w:rsidP="00F80BC0">
      <w:pPr>
        <w:spacing w:after="60"/>
        <w:jc w:val="center"/>
        <w:rPr>
          <w:rFonts w:cs="Calibri"/>
          <w:b/>
          <w:caps/>
          <w:sz w:val="32"/>
          <w:szCs w:val="32"/>
          <w:highlight w:val="yellow"/>
        </w:rPr>
      </w:pPr>
      <w:r w:rsidRPr="00FB4A55">
        <w:rPr>
          <w:rFonts w:cs="Calibri"/>
          <w:b/>
          <w:caps/>
          <w:sz w:val="32"/>
          <w:szCs w:val="32"/>
          <w:highlight w:val="yellow"/>
        </w:rPr>
        <w:t>Central Sierra Continuum of Care:</w:t>
      </w:r>
    </w:p>
    <w:p w14:paraId="78D96CE1" w14:textId="77777777" w:rsidR="00F80BC0" w:rsidRPr="00FB4A55" w:rsidRDefault="00F80BC0" w:rsidP="00F80BC0">
      <w:pPr>
        <w:spacing w:after="240"/>
        <w:jc w:val="center"/>
        <w:rPr>
          <w:rFonts w:cs="Calibri"/>
          <w:b/>
          <w:caps/>
          <w:sz w:val="32"/>
          <w:szCs w:val="32"/>
          <w:highlight w:val="yellow"/>
          <w:u w:val="single"/>
        </w:rPr>
      </w:pPr>
      <w:r w:rsidRPr="00FB4A55">
        <w:rPr>
          <w:rFonts w:cs="Calibri"/>
          <w:b/>
          <w:caps/>
          <w:sz w:val="32"/>
          <w:szCs w:val="32"/>
          <w:highlight w:val="yellow"/>
          <w:u w:val="single"/>
        </w:rPr>
        <w:t>Emergency transfer Request</w:t>
      </w:r>
    </w:p>
    <w:p w14:paraId="4832EE8C" w14:textId="77777777" w:rsidR="00F80BC0" w:rsidRPr="00FB4A55" w:rsidRDefault="00F80BC0" w:rsidP="00F80BC0">
      <w:pPr>
        <w:spacing w:after="120"/>
        <w:jc w:val="right"/>
        <w:rPr>
          <w:rFonts w:cs="Calibri"/>
          <w:b/>
          <w:highlight w:val="yellow"/>
        </w:rPr>
      </w:pPr>
      <w:r w:rsidRPr="00FB4A55">
        <w:rPr>
          <w:rFonts w:cs="Calibri"/>
          <w:b/>
          <w:highlight w:val="yellow"/>
        </w:rPr>
        <w:t>Approved: ___________</w:t>
      </w:r>
    </w:p>
    <w:p w14:paraId="64F63F9B" w14:textId="77777777" w:rsidR="00F80BC0" w:rsidRPr="00FB4A55" w:rsidRDefault="00F80BC0" w:rsidP="00F80BC0">
      <w:pPr>
        <w:spacing w:after="240"/>
        <w:jc w:val="both"/>
        <w:rPr>
          <w:highlight w:val="yellow"/>
        </w:rPr>
      </w:pPr>
      <w:r w:rsidRPr="00FB4A55">
        <w:rPr>
          <w:highlight w:val="yellow"/>
        </w:rPr>
        <w:t xml:space="preserve">In order to be considered eligible to receive a housing transfer you must be a tenant in good standing with both CSCoC and your current landlord (ex. you cannot be facing termination of your tenancy for failure to recertify or allow inspection, and you must be current in paying your portion of rent).  All transfer requests must be made by completing a Request for Transfer by the tenant of record and submitting it, with all required documents needed for transfer type, to the one of the CSCoC HUB locations for review and approval by the Leased Housing Department. </w:t>
      </w:r>
    </w:p>
    <w:p w14:paraId="55F319D7" w14:textId="77777777" w:rsidR="00F80BC0" w:rsidRPr="00FB4A55" w:rsidRDefault="00F80BC0" w:rsidP="00F80BC0">
      <w:pPr>
        <w:spacing w:after="120"/>
        <w:jc w:val="both"/>
        <w:rPr>
          <w:highlight w:val="yellow"/>
        </w:rPr>
      </w:pPr>
      <w:r w:rsidRPr="00FB4A55">
        <w:rPr>
          <w:highlight w:val="yellow"/>
        </w:rPr>
        <w:t xml:space="preserve">Your request for transfer will be designated as one of the following transfer types: </w:t>
      </w:r>
    </w:p>
    <w:p w14:paraId="6A332299" w14:textId="77777777" w:rsidR="00F80BC0" w:rsidRPr="00FB4A55" w:rsidRDefault="00F80BC0" w:rsidP="00F80BC0">
      <w:pPr>
        <w:spacing w:after="120"/>
        <w:jc w:val="both"/>
        <w:rPr>
          <w:highlight w:val="yellow"/>
        </w:rPr>
      </w:pPr>
      <w:r w:rsidRPr="00FB4A55">
        <w:rPr>
          <w:highlight w:val="yellow"/>
        </w:rPr>
        <w:t xml:space="preserve">1. </w:t>
      </w:r>
      <w:r w:rsidRPr="00FB4A55">
        <w:rPr>
          <w:highlight w:val="yellow"/>
          <w:u w:val="single"/>
        </w:rPr>
        <w:t>Emergency</w:t>
      </w:r>
      <w:r w:rsidRPr="00FB4A55">
        <w:rPr>
          <w:highlight w:val="yellow"/>
        </w:rPr>
        <w:t xml:space="preserve"> - see chart below for description of emergency reasons and documents required to qualify as an emergency.  </w:t>
      </w:r>
      <w:r w:rsidRPr="00FB4A55">
        <w:rPr>
          <w:rFonts w:asciiTheme="minorHAnsi" w:hAnsiTheme="minorHAnsi" w:cstheme="minorHAnsi"/>
          <w:bCs/>
          <w:highlight w:val="yellow"/>
        </w:rPr>
        <w:t xml:space="preserve">Using this form does not necessarily mean that you will receive an emergency transfer.  </w:t>
      </w:r>
    </w:p>
    <w:p w14:paraId="46C32B16" w14:textId="77777777" w:rsidR="00F80BC0" w:rsidRPr="00FB4A55" w:rsidRDefault="00F80BC0" w:rsidP="00F80BC0">
      <w:pPr>
        <w:spacing w:after="120"/>
        <w:jc w:val="both"/>
        <w:rPr>
          <w:highlight w:val="yellow"/>
        </w:rPr>
      </w:pPr>
      <w:r w:rsidRPr="00FB4A55">
        <w:rPr>
          <w:highlight w:val="yellow"/>
        </w:rPr>
        <w:t xml:space="preserve">2. </w:t>
      </w:r>
      <w:proofErr w:type="gramStart"/>
      <w:r w:rsidRPr="00FB4A55">
        <w:rPr>
          <w:highlight w:val="yellow"/>
          <w:u w:val="single"/>
        </w:rPr>
        <w:t>Non-emergency</w:t>
      </w:r>
      <w:proofErr w:type="gramEnd"/>
      <w:r w:rsidRPr="00FB4A55">
        <w:rPr>
          <w:highlight w:val="yellow"/>
        </w:rPr>
        <w:t xml:space="preserve"> - have not transferred within the past 12 months and have informed the landlord in writing of their intent to transfer. </w:t>
      </w:r>
    </w:p>
    <w:p w14:paraId="4858CD39" w14:textId="77777777" w:rsidR="00F80BC0" w:rsidRPr="00FB4A55" w:rsidRDefault="00F80BC0" w:rsidP="00F80BC0">
      <w:pPr>
        <w:spacing w:after="240"/>
        <w:jc w:val="both"/>
        <w:rPr>
          <w:highlight w:val="yellow"/>
        </w:rPr>
      </w:pPr>
      <w:r w:rsidRPr="00FB4A55">
        <w:rPr>
          <w:highlight w:val="yellow"/>
        </w:rPr>
        <w:t xml:space="preserve">3. </w:t>
      </w:r>
      <w:r w:rsidRPr="00FB4A55">
        <w:rPr>
          <w:highlight w:val="yellow"/>
          <w:u w:val="single"/>
        </w:rPr>
        <w:t>Portability</w:t>
      </w:r>
      <w:r w:rsidRPr="00FB4A55">
        <w:rPr>
          <w:highlight w:val="yellow"/>
        </w:rPr>
        <w:t xml:space="preserve"> - this transfer allows you to move outside the CSCoC Service Area to any jurisdiction that manages a Section 8 Program. You must provide contact information for porting agency. </w:t>
      </w:r>
    </w:p>
    <w:p w14:paraId="11C5E292" w14:textId="77777777" w:rsidR="00F80BC0" w:rsidRPr="00FB4A55" w:rsidRDefault="00F80BC0" w:rsidP="00F80BC0">
      <w:pPr>
        <w:spacing w:after="240"/>
        <w:jc w:val="both"/>
        <w:rPr>
          <w:highlight w:val="yellow"/>
        </w:rPr>
      </w:pPr>
      <w:r w:rsidRPr="00FB4A55">
        <w:rPr>
          <w:highlight w:val="yellow"/>
        </w:rPr>
        <w:t>IMPORTANT: If you are seeking to remove or add someone to your household, you must submit all documentation such as birth certificate, social security card, proof of income or proof of removal - lease, utility bills, driver’s license, etc. before or when you submit your transfer request. Any additions or removals must be processed before your request for transfer can be reviewed.</w:t>
      </w:r>
    </w:p>
    <w:p w14:paraId="6F91ACDD" w14:textId="77777777" w:rsidR="00F80BC0" w:rsidRPr="00FB4A55" w:rsidRDefault="00F80BC0" w:rsidP="00F80BC0">
      <w:pPr>
        <w:spacing w:after="240"/>
        <w:jc w:val="both"/>
        <w:rPr>
          <w:rFonts w:asciiTheme="minorHAnsi" w:hAnsiTheme="minorHAnsi" w:cstheme="minorHAnsi"/>
          <w:bCs/>
          <w:highlight w:val="yellow"/>
        </w:rPr>
      </w:pPr>
      <w:r w:rsidRPr="00FB4A55">
        <w:rPr>
          <w:rFonts w:asciiTheme="minorHAnsi" w:hAnsiTheme="minorHAnsi" w:cstheme="minorHAnsi"/>
          <w:b/>
          <w:bCs/>
          <w:highlight w:val="yellow"/>
        </w:rPr>
        <w:t>VAWA:</w:t>
      </w:r>
      <w:r w:rsidRPr="00FB4A55">
        <w:rPr>
          <w:rFonts w:asciiTheme="minorHAnsi" w:hAnsiTheme="minorHAnsi" w:cstheme="minorHAnsi"/>
          <w:bCs/>
          <w:highlight w:val="yellow"/>
        </w:rPr>
        <w:t xml:space="preserve">  If you are seeking an emergency transfer under the Violence Against Women Act (VAWA), this form will certify that you meet the following requirements for an emergency transfer request.  </w:t>
      </w:r>
    </w:p>
    <w:p w14:paraId="42A19278" w14:textId="77777777" w:rsidR="00F80BC0" w:rsidRPr="00FB4A55" w:rsidRDefault="00F80BC0">
      <w:pPr>
        <w:pStyle w:val="CommentText"/>
        <w:numPr>
          <w:ilvl w:val="0"/>
          <w:numId w:val="145"/>
        </w:numPr>
        <w:tabs>
          <w:tab w:val="left" w:pos="9360"/>
        </w:tabs>
        <w:spacing w:after="240"/>
        <w:ind w:right="18"/>
        <w:jc w:val="both"/>
        <w:rPr>
          <w:rFonts w:asciiTheme="minorHAnsi" w:hAnsiTheme="minorHAnsi" w:cstheme="minorHAnsi"/>
          <w:bCs/>
          <w:sz w:val="24"/>
          <w:highlight w:val="yellow"/>
        </w:rPr>
      </w:pPr>
      <w:r w:rsidRPr="00FB4A55">
        <w:rPr>
          <w:rFonts w:asciiTheme="minorHAnsi" w:hAnsiTheme="minorHAnsi" w:cstheme="minorHAnsi"/>
          <w:sz w:val="24"/>
          <w:highlight w:val="yellow"/>
          <w:u w:val="single"/>
        </w:rPr>
        <w:t>You are a victim of domestic violence, dating violence, sexual assault, or stalking</w:t>
      </w:r>
      <w:r w:rsidRPr="00FB4A55">
        <w:rPr>
          <w:rFonts w:asciiTheme="minorHAnsi" w:hAnsiTheme="minorHAnsi" w:cstheme="minorHAnsi"/>
          <w:sz w:val="24"/>
          <w:highlight w:val="yellow"/>
        </w:rPr>
        <w:t>.  If</w:t>
      </w:r>
      <w:r w:rsidRPr="00FB4A55">
        <w:rPr>
          <w:rFonts w:asciiTheme="minorHAnsi" w:hAnsiTheme="minorHAnsi" w:cstheme="minorHAnsi"/>
          <w:bCs/>
          <w:sz w:val="24"/>
          <w:highlight w:val="yellow"/>
        </w:rPr>
        <w:t xml:space="preserve"> your housing provider does not already have documentation that you are a victim of domestic violence, dating violence, sexual assault, or stalking, your housing provider may ask you for such documentation.  </w:t>
      </w:r>
    </w:p>
    <w:p w14:paraId="4B7CECEB" w14:textId="77777777" w:rsidR="00F80BC0" w:rsidRPr="00FB4A55" w:rsidRDefault="00F80BC0">
      <w:pPr>
        <w:pStyle w:val="CommentText"/>
        <w:numPr>
          <w:ilvl w:val="0"/>
          <w:numId w:val="145"/>
        </w:numPr>
        <w:tabs>
          <w:tab w:val="left" w:pos="9360"/>
        </w:tabs>
        <w:spacing w:after="240"/>
        <w:ind w:right="14"/>
        <w:jc w:val="both"/>
        <w:rPr>
          <w:rFonts w:asciiTheme="minorHAnsi" w:hAnsiTheme="minorHAnsi" w:cstheme="minorHAnsi"/>
          <w:sz w:val="24"/>
          <w:highlight w:val="yellow"/>
        </w:rPr>
      </w:pPr>
      <w:r w:rsidRPr="00FB4A55">
        <w:rPr>
          <w:rFonts w:asciiTheme="minorHAnsi" w:hAnsiTheme="minorHAnsi" w:cstheme="minorHAnsi"/>
          <w:sz w:val="24"/>
          <w:highlight w:val="yellow"/>
          <w:u w:val="single"/>
        </w:rPr>
        <w:t>You expressly request the emergency transfer</w:t>
      </w:r>
      <w:r w:rsidRPr="00FB4A55">
        <w:rPr>
          <w:rFonts w:asciiTheme="minorHAnsi" w:hAnsiTheme="minorHAnsi" w:cstheme="minorHAnsi"/>
          <w:sz w:val="24"/>
          <w:highlight w:val="yellow"/>
        </w:rPr>
        <w:t xml:space="preserve">.  Submission of this form confirms that you have expressly requested a transfer.  </w:t>
      </w:r>
    </w:p>
    <w:p w14:paraId="1299DFB8" w14:textId="77777777" w:rsidR="00F80BC0" w:rsidRPr="00FB4A55" w:rsidRDefault="00F80BC0">
      <w:pPr>
        <w:pStyle w:val="CommentText"/>
        <w:numPr>
          <w:ilvl w:val="0"/>
          <w:numId w:val="145"/>
        </w:numPr>
        <w:tabs>
          <w:tab w:val="left" w:pos="9360"/>
        </w:tabs>
        <w:spacing w:after="60"/>
        <w:ind w:right="18"/>
        <w:jc w:val="both"/>
        <w:rPr>
          <w:rFonts w:asciiTheme="minorHAnsi" w:hAnsiTheme="minorHAnsi" w:cstheme="minorHAnsi"/>
          <w:sz w:val="24"/>
          <w:highlight w:val="yellow"/>
        </w:rPr>
      </w:pPr>
      <w:r w:rsidRPr="00FB4A55">
        <w:rPr>
          <w:rFonts w:asciiTheme="minorHAnsi" w:hAnsiTheme="minorHAnsi" w:cstheme="minorHAnsi"/>
          <w:sz w:val="24"/>
          <w:highlight w:val="yellow"/>
          <w:u w:val="single"/>
        </w:rPr>
        <w:lastRenderedPageBreak/>
        <w:t>You reasonably believe you are threatened with imminent harm from further violence if you remain in your current unit</w:t>
      </w:r>
      <w:r w:rsidRPr="00FB4A55">
        <w:rPr>
          <w:rFonts w:asciiTheme="minorHAnsi" w:hAnsiTheme="minorHAnsi" w:cstheme="minorHAnsi"/>
          <w:sz w:val="24"/>
          <w:highlight w:val="yellow"/>
        </w:rPr>
        <w:t xml:space="preserve">.  This means you have a reason to fear that if you do not receive a </w:t>
      </w:r>
      <w:proofErr w:type="gramStart"/>
      <w:r w:rsidRPr="00FB4A55">
        <w:rPr>
          <w:rFonts w:asciiTheme="minorHAnsi" w:hAnsiTheme="minorHAnsi" w:cstheme="minorHAnsi"/>
          <w:sz w:val="24"/>
          <w:highlight w:val="yellow"/>
        </w:rPr>
        <w:t>transfer</w:t>
      </w:r>
      <w:proofErr w:type="gramEnd"/>
      <w:r w:rsidRPr="00FB4A55">
        <w:rPr>
          <w:rFonts w:asciiTheme="minorHAnsi" w:hAnsiTheme="minorHAnsi" w:cstheme="minorHAnsi"/>
          <w:sz w:val="24"/>
          <w:highlight w:val="yellow"/>
        </w:rPr>
        <w:t xml:space="preserve"> you would suffer violence in the very near future.  </w:t>
      </w:r>
    </w:p>
    <w:p w14:paraId="34286259" w14:textId="77777777" w:rsidR="00F80BC0" w:rsidRPr="00FB4A55" w:rsidRDefault="00F80BC0" w:rsidP="00F80BC0">
      <w:pPr>
        <w:pStyle w:val="CommentText"/>
        <w:tabs>
          <w:tab w:val="left" w:pos="9360"/>
        </w:tabs>
        <w:ind w:left="720" w:right="18"/>
        <w:jc w:val="center"/>
        <w:rPr>
          <w:rFonts w:asciiTheme="minorHAnsi" w:hAnsiTheme="minorHAnsi" w:cstheme="minorHAnsi"/>
          <w:sz w:val="24"/>
          <w:highlight w:val="yellow"/>
        </w:rPr>
      </w:pPr>
      <w:r w:rsidRPr="00FB4A55">
        <w:rPr>
          <w:rFonts w:asciiTheme="minorHAnsi" w:hAnsiTheme="minorHAnsi" w:cstheme="minorHAnsi"/>
          <w:sz w:val="24"/>
          <w:highlight w:val="yellow"/>
        </w:rPr>
        <w:t>OR</w:t>
      </w:r>
    </w:p>
    <w:p w14:paraId="0C51B545" w14:textId="77777777" w:rsidR="00F80BC0" w:rsidRPr="00FB4A55" w:rsidRDefault="00F80BC0" w:rsidP="00F80BC0">
      <w:pPr>
        <w:pStyle w:val="CommentText"/>
        <w:tabs>
          <w:tab w:val="left" w:pos="9360"/>
        </w:tabs>
        <w:spacing w:after="240"/>
        <w:ind w:left="720" w:right="18"/>
        <w:jc w:val="both"/>
        <w:rPr>
          <w:rFonts w:asciiTheme="minorHAnsi" w:hAnsiTheme="minorHAnsi" w:cstheme="minorHAnsi"/>
          <w:bCs/>
          <w:sz w:val="24"/>
          <w:highlight w:val="yellow"/>
        </w:rPr>
      </w:pPr>
      <w:r w:rsidRPr="00FB4A55">
        <w:rPr>
          <w:rFonts w:asciiTheme="minorHAnsi" w:hAnsiTheme="minorHAnsi" w:cstheme="minorHAnsi"/>
          <w:sz w:val="24"/>
          <w:highlight w:val="yellow"/>
          <w:u w:val="single"/>
        </w:rPr>
        <w:t>You are a victim of sexual assault and the assault occurred on the premises during the 90-calendar-day period before you request a transfer</w:t>
      </w:r>
      <w:r w:rsidRPr="00FB4A55">
        <w:rPr>
          <w:rFonts w:asciiTheme="minorHAnsi" w:hAnsiTheme="minorHAnsi" w:cstheme="minorHAnsi"/>
          <w:sz w:val="24"/>
          <w:highlight w:val="yellow"/>
        </w:rPr>
        <w:t>.  If you are a victim of</w:t>
      </w:r>
      <w:r w:rsidRPr="00FB4A55">
        <w:rPr>
          <w:rFonts w:asciiTheme="minorHAnsi" w:hAnsiTheme="minorHAnsi" w:cstheme="minorHAnsi"/>
          <w:bCs/>
          <w:sz w:val="24"/>
          <w:highlight w:val="yellow"/>
        </w:rPr>
        <w:t xml:space="preserve"> sexual assault, you may qualify for an emergency transfer if the sexual assault occurred on the premises of the property from which you are seeking your transfer, and that assault happened within the 90-calendar-day period before you submit this form or otherwise expressly request the transfer.     </w:t>
      </w:r>
    </w:p>
    <w:p w14:paraId="35A3CFBD" w14:textId="77777777" w:rsidR="00F80BC0" w:rsidRPr="00FB4A55" w:rsidRDefault="00F80BC0" w:rsidP="00F80BC0">
      <w:pPr>
        <w:spacing w:after="120"/>
        <w:jc w:val="both"/>
        <w:rPr>
          <w:rFonts w:asciiTheme="minorHAnsi" w:hAnsiTheme="minorHAnsi" w:cstheme="minorHAnsi"/>
          <w:bCs/>
          <w:highlight w:val="yellow"/>
        </w:rPr>
      </w:pPr>
      <w:r w:rsidRPr="00FB4A55">
        <w:rPr>
          <w:rFonts w:asciiTheme="minorHAnsi" w:hAnsiTheme="minorHAnsi" w:cstheme="minorHAnsi"/>
          <w:b/>
          <w:bCs/>
          <w:highlight w:val="yellow"/>
        </w:rPr>
        <w:t>Submission of Documentation:</w:t>
      </w:r>
      <w:r w:rsidRPr="00FB4A55">
        <w:rPr>
          <w:rFonts w:asciiTheme="minorHAnsi" w:hAnsiTheme="minorHAnsi" w:cstheme="minorHAnsi"/>
          <w:bCs/>
          <w:highlight w:val="yellow"/>
        </w:rPr>
        <w:t xml:space="preserve">  If you have third-party documentation that demonstrates why you are eligible for an emergency transfer, you should submit that documentation to your housing provider </w:t>
      </w:r>
      <w:r w:rsidRPr="00FB4A55">
        <w:rPr>
          <w:rFonts w:asciiTheme="minorHAnsi" w:hAnsiTheme="minorHAnsi" w:cstheme="minorHAnsi"/>
          <w:bCs/>
          <w:i/>
          <w:iCs/>
          <w:highlight w:val="yellow"/>
          <w:u w:val="single"/>
        </w:rPr>
        <w:t>if it is safe for you to do so</w:t>
      </w:r>
      <w:r w:rsidRPr="00FB4A55">
        <w:rPr>
          <w:rFonts w:asciiTheme="minorHAnsi" w:hAnsiTheme="minorHAnsi" w:cstheme="minorHAnsi"/>
          <w:bCs/>
          <w:highlight w:val="yellow"/>
        </w:rPr>
        <w:t xml:space="preserve">.  Examples of third party documentation include, but are not limited to: </w:t>
      </w:r>
      <w:r w:rsidRPr="00FB4A55">
        <w:rPr>
          <w:rFonts w:asciiTheme="minorHAnsi" w:hAnsiTheme="minorHAnsi" w:cstheme="minorHAnsi"/>
          <w:highlight w:val="yellow"/>
        </w:rPr>
        <w:t>a letter or other documentation from a victim service provider, social worker, legal assistance provider, pastoral counselor, mental health provider, or other professional from whom you have sought assistance; a current restraining order; a recent court order or other court records; a law enforcement report or records; communication records from the perpetrator of the violence or family members or friends of the perpetrator of the violence, including emails, voicemails, text messages, and social media posts.</w:t>
      </w:r>
    </w:p>
    <w:p w14:paraId="68655DEC" w14:textId="77777777" w:rsidR="00F80BC0" w:rsidRPr="00FB4A55" w:rsidRDefault="00F80BC0" w:rsidP="00F80BC0">
      <w:pPr>
        <w:spacing w:after="240"/>
        <w:jc w:val="both"/>
        <w:rPr>
          <w:rFonts w:asciiTheme="minorHAnsi" w:hAnsiTheme="minorHAnsi" w:cstheme="minorHAnsi"/>
          <w:highlight w:val="yellow"/>
        </w:rPr>
      </w:pPr>
      <w:r w:rsidRPr="00FB4A55">
        <w:rPr>
          <w:rFonts w:asciiTheme="minorHAnsi" w:hAnsiTheme="minorHAnsi" w:cstheme="minorHAnsi"/>
          <w:b/>
          <w:highlight w:val="yellow"/>
        </w:rPr>
        <w:t>Confidentiality:</w:t>
      </w:r>
      <w:r w:rsidRPr="00FB4A55">
        <w:rPr>
          <w:rFonts w:asciiTheme="minorHAnsi" w:hAnsiTheme="minorHAnsi" w:cstheme="minorHAnsi"/>
          <w:bCs/>
          <w:highlight w:val="yellow"/>
        </w:rPr>
        <w:t xml:space="preserve">  </w:t>
      </w:r>
      <w:r w:rsidRPr="00FB4A55">
        <w:rPr>
          <w:rFonts w:asciiTheme="minorHAnsi" w:hAnsiTheme="minorHAnsi" w:cstheme="minorHAnsi"/>
          <w:highlight w:val="yellow"/>
        </w:rPr>
        <w:t xml:space="preserve">All information provided to your housing provider concerning the incident(s) of domestic violence, dating violence, sexual assault, or stalking, and concerning your request for an emergency transfer shall be kept confidential.  Such details shall not be entered into any shared database.  Employees of your housing provider are not to have access to these details unless to grant or deny VAWA protections or an emergency transfer to you.  Such employees may not disclose this information to any other entity or individual, except to the extent that disclosure is: (i) consented to by you in writing in a time-limited release; (ii) required for use in an eviction proceeding or hearing regarding termination of assistance; or (iii) otherwise required by applicable law.  </w:t>
      </w:r>
    </w:p>
    <w:tbl>
      <w:tblPr>
        <w:tblStyle w:val="TableGrid"/>
        <w:tblW w:w="0" w:type="auto"/>
        <w:jc w:val="center"/>
        <w:tblLook w:val="04A0" w:firstRow="1" w:lastRow="0" w:firstColumn="1" w:lastColumn="0" w:noHBand="0" w:noVBand="1"/>
      </w:tblPr>
      <w:tblGrid>
        <w:gridCol w:w="1795"/>
        <w:gridCol w:w="3330"/>
        <w:gridCol w:w="1350"/>
        <w:gridCol w:w="2443"/>
      </w:tblGrid>
      <w:tr w:rsidR="00F80BC0" w:rsidRPr="00FB4A55" w14:paraId="6DF3E178" w14:textId="77777777" w:rsidTr="0053139E">
        <w:trPr>
          <w:cantSplit/>
          <w:tblHeader/>
          <w:jc w:val="center"/>
        </w:trPr>
        <w:tc>
          <w:tcPr>
            <w:tcW w:w="1795" w:type="dxa"/>
          </w:tcPr>
          <w:p w14:paraId="13D125E4" w14:textId="77777777" w:rsidR="00F80BC0" w:rsidRPr="00FB4A55" w:rsidRDefault="00F80BC0" w:rsidP="0053139E">
            <w:pPr>
              <w:spacing w:after="120"/>
              <w:rPr>
                <w:rFonts w:asciiTheme="minorHAnsi" w:hAnsiTheme="minorHAnsi" w:cstheme="minorHAnsi"/>
                <w:b/>
                <w:bCs/>
                <w:smallCaps/>
                <w:sz w:val="20"/>
                <w:szCs w:val="20"/>
                <w:highlight w:val="yellow"/>
              </w:rPr>
            </w:pPr>
            <w:r w:rsidRPr="00FB4A55">
              <w:rPr>
                <w:rFonts w:asciiTheme="minorHAnsi" w:hAnsiTheme="minorHAnsi" w:cstheme="minorHAnsi"/>
                <w:b/>
                <w:bCs/>
                <w:smallCaps/>
                <w:sz w:val="20"/>
                <w:szCs w:val="20"/>
                <w:highlight w:val="yellow"/>
              </w:rPr>
              <w:t>Emergency Reasons</w:t>
            </w:r>
          </w:p>
        </w:tc>
        <w:tc>
          <w:tcPr>
            <w:tcW w:w="3330" w:type="dxa"/>
          </w:tcPr>
          <w:p w14:paraId="59A758AB" w14:textId="77777777" w:rsidR="00F80BC0" w:rsidRPr="00FB4A55" w:rsidRDefault="00F80BC0" w:rsidP="0053139E">
            <w:pPr>
              <w:spacing w:after="120"/>
              <w:rPr>
                <w:rFonts w:asciiTheme="minorHAnsi" w:hAnsiTheme="minorHAnsi" w:cstheme="minorHAnsi"/>
                <w:b/>
                <w:bCs/>
                <w:smallCaps/>
                <w:sz w:val="20"/>
                <w:szCs w:val="20"/>
                <w:highlight w:val="yellow"/>
              </w:rPr>
            </w:pPr>
            <w:r w:rsidRPr="00FB4A55">
              <w:rPr>
                <w:rFonts w:asciiTheme="minorHAnsi" w:hAnsiTheme="minorHAnsi" w:cstheme="minorHAnsi"/>
                <w:b/>
                <w:bCs/>
                <w:smallCaps/>
                <w:sz w:val="20"/>
                <w:szCs w:val="20"/>
                <w:highlight w:val="yellow"/>
              </w:rPr>
              <w:t>Description</w:t>
            </w:r>
          </w:p>
        </w:tc>
        <w:tc>
          <w:tcPr>
            <w:tcW w:w="1350" w:type="dxa"/>
          </w:tcPr>
          <w:p w14:paraId="040184D9" w14:textId="77777777" w:rsidR="00F80BC0" w:rsidRPr="00FB4A55" w:rsidRDefault="00F80BC0" w:rsidP="0053139E">
            <w:pPr>
              <w:spacing w:after="120"/>
              <w:rPr>
                <w:rFonts w:asciiTheme="minorHAnsi" w:hAnsiTheme="minorHAnsi" w:cstheme="minorHAnsi"/>
                <w:b/>
                <w:bCs/>
                <w:smallCaps/>
                <w:sz w:val="20"/>
                <w:szCs w:val="20"/>
                <w:highlight w:val="yellow"/>
              </w:rPr>
            </w:pPr>
            <w:r w:rsidRPr="00FB4A55">
              <w:rPr>
                <w:rFonts w:asciiTheme="minorHAnsi" w:hAnsiTheme="minorHAnsi" w:cstheme="minorHAnsi"/>
                <w:b/>
                <w:bCs/>
                <w:smallCaps/>
                <w:sz w:val="20"/>
                <w:szCs w:val="20"/>
                <w:highlight w:val="yellow"/>
              </w:rPr>
              <w:t>Lease Release Needed?</w:t>
            </w:r>
          </w:p>
        </w:tc>
        <w:tc>
          <w:tcPr>
            <w:tcW w:w="2443" w:type="dxa"/>
          </w:tcPr>
          <w:p w14:paraId="49521B73" w14:textId="77777777" w:rsidR="00F80BC0" w:rsidRPr="00FB4A55" w:rsidRDefault="00F80BC0" w:rsidP="0053139E">
            <w:pPr>
              <w:spacing w:after="120"/>
              <w:rPr>
                <w:rFonts w:asciiTheme="minorHAnsi" w:hAnsiTheme="minorHAnsi" w:cstheme="minorHAnsi"/>
                <w:b/>
                <w:bCs/>
                <w:smallCaps/>
                <w:sz w:val="20"/>
                <w:szCs w:val="20"/>
                <w:highlight w:val="yellow"/>
              </w:rPr>
            </w:pPr>
            <w:r w:rsidRPr="00FB4A55">
              <w:rPr>
                <w:rFonts w:asciiTheme="minorHAnsi" w:hAnsiTheme="minorHAnsi" w:cstheme="minorHAnsi"/>
                <w:b/>
                <w:bCs/>
                <w:smallCaps/>
                <w:sz w:val="20"/>
                <w:szCs w:val="20"/>
                <w:highlight w:val="yellow"/>
              </w:rPr>
              <w:t>Additional Documentation Required</w:t>
            </w:r>
          </w:p>
        </w:tc>
      </w:tr>
      <w:tr w:rsidR="00F80BC0" w:rsidRPr="00FB4A55" w14:paraId="6EEC5198" w14:textId="77777777" w:rsidTr="0053139E">
        <w:trPr>
          <w:cantSplit/>
          <w:jc w:val="center"/>
        </w:trPr>
        <w:tc>
          <w:tcPr>
            <w:tcW w:w="1795" w:type="dxa"/>
          </w:tcPr>
          <w:p w14:paraId="401D9881" w14:textId="77777777" w:rsidR="00F80BC0" w:rsidRPr="00FB4A55" w:rsidRDefault="00F80BC0" w:rsidP="0053139E">
            <w:pPr>
              <w:spacing w:after="120"/>
              <w:rPr>
                <w:sz w:val="20"/>
                <w:szCs w:val="20"/>
                <w:highlight w:val="yellow"/>
              </w:rPr>
            </w:pPr>
            <w:r w:rsidRPr="00FB4A55">
              <w:rPr>
                <w:sz w:val="20"/>
                <w:szCs w:val="20"/>
                <w:highlight w:val="yellow"/>
              </w:rPr>
              <w:t xml:space="preserve">24 Hour Life Threatening </w:t>
            </w:r>
          </w:p>
          <w:p w14:paraId="4A705385" w14:textId="77777777" w:rsidR="00F80BC0" w:rsidRPr="00FB4A55" w:rsidRDefault="00F80BC0" w:rsidP="0053139E">
            <w:pPr>
              <w:spacing w:after="120"/>
              <w:rPr>
                <w:rFonts w:asciiTheme="minorHAnsi" w:hAnsiTheme="minorHAnsi" w:cstheme="minorHAnsi"/>
                <w:sz w:val="20"/>
                <w:szCs w:val="20"/>
                <w:highlight w:val="yellow"/>
              </w:rPr>
            </w:pPr>
          </w:p>
        </w:tc>
        <w:tc>
          <w:tcPr>
            <w:tcW w:w="3330" w:type="dxa"/>
          </w:tcPr>
          <w:p w14:paraId="5240FA2B" w14:textId="77777777" w:rsidR="00F80BC0" w:rsidRPr="00FB4A55" w:rsidRDefault="00F80BC0" w:rsidP="0053139E">
            <w:pPr>
              <w:spacing w:after="120"/>
              <w:rPr>
                <w:sz w:val="20"/>
                <w:szCs w:val="20"/>
                <w:highlight w:val="yellow"/>
              </w:rPr>
            </w:pPr>
            <w:r w:rsidRPr="00FB4A55">
              <w:rPr>
                <w:sz w:val="20"/>
                <w:szCs w:val="20"/>
                <w:highlight w:val="yellow"/>
              </w:rPr>
              <w:t>Gas Leak, Building or Structural Damage</w:t>
            </w:r>
          </w:p>
          <w:p w14:paraId="21CA3032" w14:textId="77777777" w:rsidR="00F80BC0" w:rsidRPr="00FB4A55" w:rsidRDefault="00F80BC0" w:rsidP="0053139E">
            <w:pPr>
              <w:spacing w:after="120"/>
              <w:rPr>
                <w:rFonts w:asciiTheme="minorHAnsi" w:hAnsiTheme="minorHAnsi" w:cstheme="minorHAnsi"/>
                <w:sz w:val="20"/>
                <w:szCs w:val="20"/>
                <w:highlight w:val="yellow"/>
              </w:rPr>
            </w:pPr>
            <w:r w:rsidRPr="00FB4A55">
              <w:rPr>
                <w:sz w:val="20"/>
                <w:szCs w:val="20"/>
                <w:highlight w:val="yellow"/>
              </w:rPr>
              <w:t xml:space="preserve">Owner failed to complete repairs within 24 hours of the inspection date and unit remains in unrepaired status. </w:t>
            </w:r>
          </w:p>
        </w:tc>
        <w:tc>
          <w:tcPr>
            <w:tcW w:w="1350" w:type="dxa"/>
          </w:tcPr>
          <w:p w14:paraId="64A7A935" w14:textId="77777777" w:rsidR="00F80BC0" w:rsidRPr="00FB4A55" w:rsidRDefault="00F80BC0" w:rsidP="0053139E">
            <w:pPr>
              <w:spacing w:after="120"/>
              <w:rPr>
                <w:rFonts w:asciiTheme="minorHAnsi" w:hAnsiTheme="minorHAnsi" w:cstheme="minorHAnsi"/>
                <w:sz w:val="20"/>
                <w:szCs w:val="20"/>
                <w:highlight w:val="yellow"/>
              </w:rPr>
            </w:pPr>
            <w:r w:rsidRPr="00FB4A55">
              <w:rPr>
                <w:rFonts w:asciiTheme="minorHAnsi" w:hAnsiTheme="minorHAnsi" w:cstheme="minorHAnsi"/>
                <w:sz w:val="20"/>
                <w:szCs w:val="20"/>
                <w:highlight w:val="yellow"/>
              </w:rPr>
              <w:t>No</w:t>
            </w:r>
          </w:p>
        </w:tc>
        <w:tc>
          <w:tcPr>
            <w:tcW w:w="2443" w:type="dxa"/>
          </w:tcPr>
          <w:p w14:paraId="0F133531" w14:textId="77777777" w:rsidR="00F80BC0" w:rsidRPr="00FB4A55" w:rsidRDefault="00F80BC0" w:rsidP="0053139E">
            <w:pPr>
              <w:spacing w:after="120"/>
              <w:rPr>
                <w:rFonts w:asciiTheme="minorHAnsi" w:hAnsiTheme="minorHAnsi" w:cstheme="minorHAnsi"/>
                <w:sz w:val="20"/>
                <w:szCs w:val="20"/>
                <w:highlight w:val="yellow"/>
              </w:rPr>
            </w:pPr>
            <w:r w:rsidRPr="00FB4A55">
              <w:rPr>
                <w:rFonts w:asciiTheme="minorHAnsi" w:hAnsiTheme="minorHAnsi" w:cstheme="minorHAnsi"/>
                <w:sz w:val="20"/>
                <w:szCs w:val="20"/>
                <w:highlight w:val="yellow"/>
              </w:rPr>
              <w:t>None</w:t>
            </w:r>
          </w:p>
        </w:tc>
      </w:tr>
      <w:tr w:rsidR="00F80BC0" w:rsidRPr="00FB4A55" w14:paraId="7B53FF2F" w14:textId="77777777" w:rsidTr="0053139E">
        <w:trPr>
          <w:cantSplit/>
          <w:jc w:val="center"/>
        </w:trPr>
        <w:tc>
          <w:tcPr>
            <w:tcW w:w="1795" w:type="dxa"/>
          </w:tcPr>
          <w:p w14:paraId="7B032848" w14:textId="77777777" w:rsidR="00F80BC0" w:rsidRPr="00FB4A55" w:rsidRDefault="00F80BC0" w:rsidP="0053139E">
            <w:pPr>
              <w:spacing w:after="120"/>
              <w:rPr>
                <w:rFonts w:asciiTheme="minorHAnsi" w:hAnsiTheme="minorHAnsi" w:cstheme="minorHAnsi"/>
                <w:sz w:val="20"/>
                <w:szCs w:val="20"/>
                <w:highlight w:val="yellow"/>
              </w:rPr>
            </w:pPr>
            <w:r w:rsidRPr="00FB4A55">
              <w:rPr>
                <w:sz w:val="20"/>
                <w:szCs w:val="20"/>
                <w:highlight w:val="yellow"/>
              </w:rPr>
              <w:lastRenderedPageBreak/>
              <w:t>Court Action by Landlord to Regain Possession of Apt or Foreclosure of Property</w:t>
            </w:r>
          </w:p>
        </w:tc>
        <w:tc>
          <w:tcPr>
            <w:tcW w:w="3330" w:type="dxa"/>
          </w:tcPr>
          <w:p w14:paraId="432D39EF" w14:textId="77777777" w:rsidR="00F80BC0" w:rsidRPr="00FB4A55" w:rsidRDefault="00F80BC0" w:rsidP="0053139E">
            <w:pPr>
              <w:spacing w:after="120"/>
              <w:rPr>
                <w:rFonts w:asciiTheme="minorHAnsi" w:hAnsiTheme="minorHAnsi" w:cstheme="minorHAnsi"/>
                <w:sz w:val="20"/>
                <w:szCs w:val="20"/>
                <w:highlight w:val="yellow"/>
              </w:rPr>
            </w:pPr>
            <w:r w:rsidRPr="00FB4A55">
              <w:rPr>
                <w:sz w:val="20"/>
                <w:szCs w:val="20"/>
                <w:highlight w:val="yellow"/>
              </w:rPr>
              <w:t xml:space="preserve">The owner has given tenant a notice to vacate, or has commenced court action for eviction, or has obtained a court judgment or other process to regain possession of apartment, or tenant has been advised or has become aware that property is in foreclosure and the bank or receiver wants you to move. </w:t>
            </w:r>
          </w:p>
        </w:tc>
        <w:tc>
          <w:tcPr>
            <w:tcW w:w="1350" w:type="dxa"/>
          </w:tcPr>
          <w:p w14:paraId="39144F54" w14:textId="77777777" w:rsidR="00F80BC0" w:rsidRPr="00FB4A55" w:rsidRDefault="00F80BC0" w:rsidP="0053139E">
            <w:pPr>
              <w:spacing w:before="120" w:after="120"/>
              <w:rPr>
                <w:rFonts w:asciiTheme="minorHAnsi" w:hAnsiTheme="minorHAnsi" w:cstheme="minorHAnsi"/>
                <w:sz w:val="20"/>
                <w:szCs w:val="20"/>
                <w:highlight w:val="yellow"/>
              </w:rPr>
            </w:pPr>
            <w:r w:rsidRPr="00FB4A55">
              <w:rPr>
                <w:rFonts w:asciiTheme="minorHAnsi" w:hAnsiTheme="minorHAnsi" w:cstheme="minorHAnsi"/>
                <w:sz w:val="20"/>
                <w:szCs w:val="20"/>
                <w:highlight w:val="yellow"/>
              </w:rPr>
              <w:t>No</w:t>
            </w:r>
          </w:p>
        </w:tc>
        <w:tc>
          <w:tcPr>
            <w:tcW w:w="2443" w:type="dxa"/>
          </w:tcPr>
          <w:p w14:paraId="5B342A9F" w14:textId="77777777" w:rsidR="00F80BC0" w:rsidRPr="00FB4A55" w:rsidRDefault="00F80BC0" w:rsidP="0053139E">
            <w:pPr>
              <w:spacing w:after="120"/>
              <w:rPr>
                <w:rFonts w:asciiTheme="minorHAnsi" w:hAnsiTheme="minorHAnsi" w:cstheme="minorHAnsi"/>
                <w:sz w:val="20"/>
                <w:szCs w:val="20"/>
                <w:highlight w:val="yellow"/>
              </w:rPr>
            </w:pPr>
            <w:r w:rsidRPr="00FB4A55">
              <w:rPr>
                <w:sz w:val="20"/>
                <w:szCs w:val="20"/>
                <w:highlight w:val="yellow"/>
              </w:rPr>
              <w:t>Copies of court notices, warrants, stipulations, and/or eviction notices</w:t>
            </w:r>
          </w:p>
        </w:tc>
      </w:tr>
      <w:tr w:rsidR="00F80BC0" w:rsidRPr="00FB4A55" w14:paraId="7C60F285" w14:textId="77777777" w:rsidTr="0053139E">
        <w:trPr>
          <w:cantSplit/>
          <w:jc w:val="center"/>
        </w:trPr>
        <w:tc>
          <w:tcPr>
            <w:tcW w:w="1795" w:type="dxa"/>
          </w:tcPr>
          <w:p w14:paraId="60719DB7" w14:textId="77777777" w:rsidR="00F80BC0" w:rsidRPr="00FB4A55" w:rsidRDefault="00F80BC0" w:rsidP="0053139E">
            <w:pPr>
              <w:spacing w:after="120"/>
              <w:rPr>
                <w:rFonts w:asciiTheme="minorHAnsi" w:hAnsiTheme="minorHAnsi" w:cstheme="minorHAnsi"/>
                <w:sz w:val="20"/>
                <w:szCs w:val="20"/>
                <w:highlight w:val="yellow"/>
              </w:rPr>
            </w:pPr>
            <w:r w:rsidRPr="00FB4A55">
              <w:rPr>
                <w:sz w:val="20"/>
                <w:szCs w:val="20"/>
                <w:highlight w:val="yellow"/>
              </w:rPr>
              <w:t>Reasonable Accommodation</w:t>
            </w:r>
          </w:p>
        </w:tc>
        <w:tc>
          <w:tcPr>
            <w:tcW w:w="3330" w:type="dxa"/>
          </w:tcPr>
          <w:p w14:paraId="01BC6833" w14:textId="77777777" w:rsidR="00F80BC0" w:rsidRPr="00FB4A55" w:rsidRDefault="00F80BC0" w:rsidP="0053139E">
            <w:pPr>
              <w:spacing w:after="120"/>
              <w:rPr>
                <w:rFonts w:asciiTheme="minorHAnsi" w:hAnsiTheme="minorHAnsi" w:cstheme="minorHAnsi"/>
                <w:sz w:val="20"/>
                <w:szCs w:val="20"/>
                <w:highlight w:val="yellow"/>
              </w:rPr>
            </w:pPr>
            <w:r w:rsidRPr="00FB4A55">
              <w:rPr>
                <w:sz w:val="20"/>
                <w:szCs w:val="20"/>
                <w:highlight w:val="yellow"/>
              </w:rPr>
              <w:t>Tenant or household member qualifies as disabled, and the disability requires a change in housing.</w:t>
            </w:r>
          </w:p>
        </w:tc>
        <w:tc>
          <w:tcPr>
            <w:tcW w:w="1350" w:type="dxa"/>
          </w:tcPr>
          <w:p w14:paraId="33F62387" w14:textId="77777777" w:rsidR="00F80BC0" w:rsidRPr="00FB4A55" w:rsidRDefault="00F80BC0" w:rsidP="0053139E">
            <w:pPr>
              <w:spacing w:after="120"/>
              <w:rPr>
                <w:rFonts w:asciiTheme="minorHAnsi" w:hAnsiTheme="minorHAnsi" w:cstheme="minorHAnsi"/>
                <w:sz w:val="20"/>
                <w:szCs w:val="20"/>
                <w:highlight w:val="yellow"/>
              </w:rPr>
            </w:pPr>
            <w:r w:rsidRPr="00FB4A55">
              <w:rPr>
                <w:sz w:val="20"/>
                <w:szCs w:val="20"/>
                <w:highlight w:val="yellow"/>
              </w:rPr>
              <w:t>Tenant must inform the landlord in writing of their intent to transfer.</w:t>
            </w:r>
          </w:p>
        </w:tc>
        <w:tc>
          <w:tcPr>
            <w:tcW w:w="2443" w:type="dxa"/>
          </w:tcPr>
          <w:p w14:paraId="04BDB1F7" w14:textId="77777777" w:rsidR="00F80BC0" w:rsidRPr="00FB4A55" w:rsidRDefault="00F80BC0" w:rsidP="0053139E">
            <w:pPr>
              <w:spacing w:after="120"/>
              <w:rPr>
                <w:rFonts w:asciiTheme="minorHAnsi" w:hAnsiTheme="minorHAnsi" w:cstheme="minorHAnsi"/>
                <w:sz w:val="20"/>
                <w:szCs w:val="20"/>
                <w:highlight w:val="yellow"/>
              </w:rPr>
            </w:pPr>
            <w:r w:rsidRPr="00FB4A55">
              <w:rPr>
                <w:sz w:val="20"/>
                <w:szCs w:val="20"/>
                <w:highlight w:val="yellow"/>
              </w:rPr>
              <w:t>Letter from health care provider stating the reason to transfer (letter from health provider)</w:t>
            </w:r>
          </w:p>
        </w:tc>
      </w:tr>
      <w:tr w:rsidR="00F80BC0" w:rsidRPr="00FB4A55" w14:paraId="5B9CB8A1" w14:textId="77777777" w:rsidTr="0053139E">
        <w:tblPrEx>
          <w:jc w:val="left"/>
        </w:tblPrEx>
        <w:trPr>
          <w:cantSplit/>
        </w:trPr>
        <w:tc>
          <w:tcPr>
            <w:tcW w:w="1795" w:type="dxa"/>
          </w:tcPr>
          <w:p w14:paraId="2E44D573" w14:textId="77777777" w:rsidR="00F80BC0" w:rsidRPr="00FB4A55" w:rsidRDefault="00F80BC0" w:rsidP="0053139E">
            <w:pPr>
              <w:spacing w:after="120"/>
              <w:rPr>
                <w:sz w:val="20"/>
                <w:szCs w:val="20"/>
                <w:highlight w:val="yellow"/>
              </w:rPr>
            </w:pPr>
            <w:r w:rsidRPr="00FB4A55">
              <w:rPr>
                <w:sz w:val="20"/>
                <w:szCs w:val="20"/>
                <w:highlight w:val="yellow"/>
              </w:rPr>
              <w:t>Fire</w:t>
            </w:r>
          </w:p>
        </w:tc>
        <w:tc>
          <w:tcPr>
            <w:tcW w:w="3330" w:type="dxa"/>
          </w:tcPr>
          <w:p w14:paraId="21BD5D71" w14:textId="77777777" w:rsidR="00F80BC0" w:rsidRPr="00FB4A55" w:rsidRDefault="00F80BC0" w:rsidP="0053139E">
            <w:pPr>
              <w:spacing w:after="120"/>
              <w:rPr>
                <w:sz w:val="20"/>
                <w:szCs w:val="20"/>
                <w:highlight w:val="yellow"/>
              </w:rPr>
            </w:pPr>
            <w:r w:rsidRPr="00FB4A55">
              <w:rPr>
                <w:sz w:val="20"/>
                <w:szCs w:val="20"/>
                <w:highlight w:val="yellow"/>
              </w:rPr>
              <w:t>Apartment is uninhabitable due to a fire.</w:t>
            </w:r>
          </w:p>
        </w:tc>
        <w:tc>
          <w:tcPr>
            <w:tcW w:w="1350" w:type="dxa"/>
          </w:tcPr>
          <w:p w14:paraId="78B68885" w14:textId="77777777" w:rsidR="00F80BC0" w:rsidRPr="00FB4A55" w:rsidRDefault="00F80BC0" w:rsidP="0053139E">
            <w:pPr>
              <w:spacing w:after="120"/>
              <w:rPr>
                <w:sz w:val="20"/>
                <w:szCs w:val="20"/>
                <w:highlight w:val="yellow"/>
              </w:rPr>
            </w:pPr>
            <w:r w:rsidRPr="00FB4A55">
              <w:rPr>
                <w:sz w:val="20"/>
                <w:szCs w:val="20"/>
                <w:highlight w:val="yellow"/>
              </w:rPr>
              <w:t>No</w:t>
            </w:r>
          </w:p>
        </w:tc>
        <w:tc>
          <w:tcPr>
            <w:tcW w:w="2443" w:type="dxa"/>
          </w:tcPr>
          <w:p w14:paraId="0DA059AB" w14:textId="77777777" w:rsidR="00F80BC0" w:rsidRPr="00FB4A55" w:rsidRDefault="00F80BC0" w:rsidP="0053139E">
            <w:pPr>
              <w:spacing w:after="120"/>
              <w:rPr>
                <w:sz w:val="20"/>
                <w:szCs w:val="20"/>
                <w:highlight w:val="yellow"/>
              </w:rPr>
            </w:pPr>
            <w:r w:rsidRPr="00FB4A55">
              <w:rPr>
                <w:sz w:val="20"/>
                <w:szCs w:val="20"/>
                <w:highlight w:val="yellow"/>
              </w:rPr>
              <w:t xml:space="preserve">Report from </w:t>
            </w:r>
            <w:proofErr w:type="spellStart"/>
            <w:r w:rsidRPr="00FB4A55">
              <w:rPr>
                <w:sz w:val="20"/>
                <w:szCs w:val="20"/>
                <w:highlight w:val="yellow"/>
              </w:rPr>
              <w:t>CalFIRE</w:t>
            </w:r>
            <w:proofErr w:type="spellEnd"/>
            <w:r w:rsidRPr="00FB4A55">
              <w:rPr>
                <w:sz w:val="20"/>
                <w:szCs w:val="20"/>
                <w:highlight w:val="yellow"/>
              </w:rPr>
              <w:t xml:space="preserve">, Red Cross letter, or an Order to Vacate </w:t>
            </w:r>
          </w:p>
        </w:tc>
      </w:tr>
      <w:tr w:rsidR="00F80BC0" w:rsidRPr="00FB4A55" w14:paraId="2FAE54A1" w14:textId="77777777" w:rsidTr="0053139E">
        <w:tblPrEx>
          <w:jc w:val="left"/>
        </w:tblPrEx>
        <w:trPr>
          <w:cantSplit/>
        </w:trPr>
        <w:tc>
          <w:tcPr>
            <w:tcW w:w="1795" w:type="dxa"/>
          </w:tcPr>
          <w:p w14:paraId="2663EB94" w14:textId="77777777" w:rsidR="00F80BC0" w:rsidRPr="00FB4A55" w:rsidRDefault="00F80BC0" w:rsidP="0053139E">
            <w:pPr>
              <w:spacing w:after="120"/>
              <w:rPr>
                <w:sz w:val="20"/>
                <w:szCs w:val="20"/>
                <w:highlight w:val="yellow"/>
              </w:rPr>
            </w:pPr>
            <w:r w:rsidRPr="00FB4A55">
              <w:rPr>
                <w:sz w:val="20"/>
                <w:szCs w:val="20"/>
                <w:highlight w:val="yellow"/>
              </w:rPr>
              <w:t>Natural Disaster</w:t>
            </w:r>
          </w:p>
        </w:tc>
        <w:tc>
          <w:tcPr>
            <w:tcW w:w="3330" w:type="dxa"/>
          </w:tcPr>
          <w:p w14:paraId="6251669A" w14:textId="77777777" w:rsidR="00F80BC0" w:rsidRPr="00FB4A55" w:rsidRDefault="00F80BC0" w:rsidP="0053139E">
            <w:pPr>
              <w:spacing w:after="120"/>
              <w:rPr>
                <w:sz w:val="20"/>
                <w:szCs w:val="20"/>
                <w:highlight w:val="yellow"/>
              </w:rPr>
            </w:pPr>
            <w:r w:rsidRPr="00FB4A55">
              <w:rPr>
                <w:sz w:val="20"/>
                <w:szCs w:val="20"/>
                <w:highlight w:val="yellow"/>
              </w:rPr>
              <w:t>Apartment is inhabitability due to a Hurricane, Earthquake, Tornado etc.</w:t>
            </w:r>
          </w:p>
        </w:tc>
        <w:tc>
          <w:tcPr>
            <w:tcW w:w="1350" w:type="dxa"/>
          </w:tcPr>
          <w:p w14:paraId="67DA19FA" w14:textId="77777777" w:rsidR="00F80BC0" w:rsidRPr="00FB4A55" w:rsidRDefault="00F80BC0" w:rsidP="0053139E">
            <w:pPr>
              <w:spacing w:after="120"/>
              <w:rPr>
                <w:sz w:val="20"/>
                <w:szCs w:val="20"/>
                <w:highlight w:val="yellow"/>
              </w:rPr>
            </w:pPr>
            <w:r w:rsidRPr="00FB4A55">
              <w:rPr>
                <w:sz w:val="20"/>
                <w:szCs w:val="20"/>
                <w:highlight w:val="yellow"/>
              </w:rPr>
              <w:t>No</w:t>
            </w:r>
          </w:p>
        </w:tc>
        <w:tc>
          <w:tcPr>
            <w:tcW w:w="2443" w:type="dxa"/>
          </w:tcPr>
          <w:p w14:paraId="35238B93" w14:textId="77777777" w:rsidR="00F80BC0" w:rsidRPr="00FB4A55" w:rsidRDefault="00F80BC0" w:rsidP="0053139E">
            <w:pPr>
              <w:spacing w:after="120"/>
              <w:rPr>
                <w:sz w:val="20"/>
                <w:szCs w:val="20"/>
                <w:highlight w:val="yellow"/>
              </w:rPr>
            </w:pPr>
            <w:r w:rsidRPr="00FB4A55">
              <w:rPr>
                <w:sz w:val="20"/>
                <w:szCs w:val="20"/>
                <w:highlight w:val="yellow"/>
              </w:rPr>
              <w:t xml:space="preserve">Documentation from FEMA, Red Cross letter, or an Order to Vacate </w:t>
            </w:r>
          </w:p>
        </w:tc>
      </w:tr>
      <w:tr w:rsidR="00F80BC0" w:rsidRPr="00FB4A55" w14:paraId="62B213E7" w14:textId="77777777" w:rsidTr="0053139E">
        <w:tblPrEx>
          <w:jc w:val="left"/>
        </w:tblPrEx>
        <w:trPr>
          <w:cantSplit/>
        </w:trPr>
        <w:tc>
          <w:tcPr>
            <w:tcW w:w="1795" w:type="dxa"/>
          </w:tcPr>
          <w:p w14:paraId="4DF1703E" w14:textId="77777777" w:rsidR="00F80BC0" w:rsidRPr="00FB4A55" w:rsidRDefault="00F80BC0" w:rsidP="0053139E">
            <w:pPr>
              <w:spacing w:after="120"/>
              <w:rPr>
                <w:rFonts w:asciiTheme="minorHAnsi" w:hAnsiTheme="minorHAnsi" w:cstheme="minorHAnsi"/>
                <w:sz w:val="20"/>
                <w:szCs w:val="20"/>
                <w:highlight w:val="yellow"/>
              </w:rPr>
            </w:pPr>
            <w:r w:rsidRPr="00FB4A55">
              <w:rPr>
                <w:sz w:val="20"/>
                <w:szCs w:val="20"/>
                <w:highlight w:val="yellow"/>
              </w:rPr>
              <w:t>Victim of Domestic Violence</w:t>
            </w:r>
          </w:p>
        </w:tc>
        <w:tc>
          <w:tcPr>
            <w:tcW w:w="3330" w:type="dxa"/>
          </w:tcPr>
          <w:p w14:paraId="426BC680" w14:textId="77777777" w:rsidR="00F80BC0" w:rsidRPr="00FB4A55" w:rsidRDefault="00F80BC0" w:rsidP="0053139E">
            <w:pPr>
              <w:spacing w:after="120"/>
              <w:rPr>
                <w:rFonts w:asciiTheme="minorHAnsi" w:hAnsiTheme="minorHAnsi" w:cstheme="minorHAnsi"/>
                <w:sz w:val="20"/>
                <w:szCs w:val="20"/>
                <w:highlight w:val="yellow"/>
              </w:rPr>
            </w:pPr>
            <w:r w:rsidRPr="00FB4A55">
              <w:rPr>
                <w:sz w:val="20"/>
                <w:szCs w:val="20"/>
                <w:highlight w:val="yellow"/>
              </w:rPr>
              <w:t>Suffers or suffered serious or repeated abuse from a family member or person with whom you had, or continue to have, an intimate relationship and, as a result of that abuse, has suffered actual physical injury or the threat of injury and will continue to suffer by continuing to live in current residence.</w:t>
            </w:r>
          </w:p>
        </w:tc>
        <w:tc>
          <w:tcPr>
            <w:tcW w:w="1350" w:type="dxa"/>
          </w:tcPr>
          <w:p w14:paraId="3BAAFD62" w14:textId="77777777" w:rsidR="00F80BC0" w:rsidRPr="00FB4A55" w:rsidRDefault="00F80BC0" w:rsidP="0053139E">
            <w:pPr>
              <w:spacing w:after="120"/>
              <w:rPr>
                <w:rFonts w:asciiTheme="minorHAnsi" w:hAnsiTheme="minorHAnsi" w:cstheme="minorHAnsi"/>
                <w:sz w:val="20"/>
                <w:szCs w:val="20"/>
                <w:highlight w:val="yellow"/>
              </w:rPr>
            </w:pPr>
            <w:r w:rsidRPr="00FB4A55">
              <w:rPr>
                <w:sz w:val="20"/>
                <w:szCs w:val="20"/>
                <w:highlight w:val="yellow"/>
              </w:rPr>
              <w:t>Tenant must inform the landlord in writing of their intent to transfer.</w:t>
            </w:r>
          </w:p>
        </w:tc>
        <w:tc>
          <w:tcPr>
            <w:tcW w:w="2443" w:type="dxa"/>
          </w:tcPr>
          <w:p w14:paraId="29C76D1F" w14:textId="77777777" w:rsidR="00F80BC0" w:rsidRPr="00FB4A55" w:rsidRDefault="00F80BC0" w:rsidP="0053139E">
            <w:pPr>
              <w:spacing w:after="240"/>
              <w:rPr>
                <w:rFonts w:asciiTheme="minorHAnsi" w:hAnsiTheme="minorHAnsi" w:cstheme="minorHAnsi"/>
                <w:bCs/>
                <w:sz w:val="20"/>
                <w:szCs w:val="20"/>
                <w:highlight w:val="yellow"/>
              </w:rPr>
            </w:pPr>
            <w:r w:rsidRPr="00FB4A55">
              <w:rPr>
                <w:rFonts w:asciiTheme="minorHAnsi" w:hAnsiTheme="minorHAnsi" w:cstheme="minorHAnsi"/>
                <w:bCs/>
                <w:sz w:val="20"/>
                <w:szCs w:val="20"/>
                <w:highlight w:val="yellow"/>
              </w:rPr>
              <w:t>If you have third-party documentation that demonstrates why you are eligible for an emergency transfer, you should submit that documentation to your housing provider if it is safe for you to do so.</w:t>
            </w:r>
            <w:r w:rsidRPr="00FB4A55">
              <w:rPr>
                <w:rStyle w:val="FootnoteReference"/>
                <w:rFonts w:asciiTheme="minorHAnsi" w:hAnsiTheme="minorHAnsi" w:cstheme="minorHAnsi"/>
                <w:bCs/>
                <w:sz w:val="20"/>
                <w:szCs w:val="20"/>
                <w:highlight w:val="yellow"/>
              </w:rPr>
              <w:footnoteReference w:id="10"/>
            </w:r>
          </w:p>
        </w:tc>
      </w:tr>
      <w:tr w:rsidR="00F80BC0" w:rsidRPr="00FB4A55" w14:paraId="3E9A0E13" w14:textId="77777777" w:rsidTr="0053139E">
        <w:tblPrEx>
          <w:jc w:val="left"/>
        </w:tblPrEx>
        <w:trPr>
          <w:cantSplit/>
        </w:trPr>
        <w:tc>
          <w:tcPr>
            <w:tcW w:w="1795" w:type="dxa"/>
          </w:tcPr>
          <w:p w14:paraId="64B2765C" w14:textId="77777777" w:rsidR="00F80BC0" w:rsidRPr="00FB4A55" w:rsidRDefault="00F80BC0" w:rsidP="0053139E">
            <w:pPr>
              <w:spacing w:after="120"/>
              <w:rPr>
                <w:rFonts w:asciiTheme="minorHAnsi" w:hAnsiTheme="minorHAnsi" w:cstheme="minorHAnsi"/>
                <w:sz w:val="20"/>
                <w:szCs w:val="20"/>
                <w:highlight w:val="yellow"/>
              </w:rPr>
            </w:pPr>
            <w:r w:rsidRPr="00FB4A55">
              <w:rPr>
                <w:sz w:val="20"/>
                <w:szCs w:val="20"/>
                <w:highlight w:val="yellow"/>
              </w:rPr>
              <w:lastRenderedPageBreak/>
              <w:t>Intimidated Victim, Intimidated Witness or Child Sexual Victim</w:t>
            </w:r>
          </w:p>
        </w:tc>
        <w:tc>
          <w:tcPr>
            <w:tcW w:w="3330" w:type="dxa"/>
          </w:tcPr>
          <w:p w14:paraId="2D73816A" w14:textId="77777777" w:rsidR="00F80BC0" w:rsidRPr="00FB4A55" w:rsidRDefault="00F80BC0" w:rsidP="0053139E">
            <w:pPr>
              <w:spacing w:after="120"/>
              <w:rPr>
                <w:sz w:val="20"/>
                <w:szCs w:val="20"/>
                <w:highlight w:val="yellow"/>
              </w:rPr>
            </w:pPr>
            <w:r w:rsidRPr="00FB4A55">
              <w:rPr>
                <w:sz w:val="20"/>
                <w:szCs w:val="20"/>
                <w:highlight w:val="yellow"/>
              </w:rPr>
              <w:t>Tenant is:</w:t>
            </w:r>
          </w:p>
          <w:p w14:paraId="433878C1" w14:textId="77777777" w:rsidR="00F80BC0" w:rsidRPr="00FB4A55" w:rsidRDefault="00F80BC0">
            <w:pPr>
              <w:pStyle w:val="ListParagraph"/>
              <w:numPr>
                <w:ilvl w:val="0"/>
                <w:numId w:val="144"/>
              </w:numPr>
              <w:spacing w:after="120"/>
              <w:ind w:left="271" w:hanging="180"/>
              <w:contextualSpacing w:val="0"/>
              <w:jc w:val="both"/>
              <w:rPr>
                <w:sz w:val="20"/>
                <w:szCs w:val="20"/>
                <w:highlight w:val="yellow"/>
              </w:rPr>
            </w:pPr>
            <w:r w:rsidRPr="00FB4A55">
              <w:rPr>
                <w:sz w:val="20"/>
                <w:szCs w:val="20"/>
                <w:highlight w:val="yellow"/>
              </w:rPr>
              <w:t xml:space="preserve">the victim of a violent crime or the threat of a violent crime and such crime was committed in a non-random manner as a result of a relationship between the victim and the perpetrator, and tenant has suffered actual physical injury or threat of injury against himself or immediate family and will continue to suffer by continuing to live in current residence; or </w:t>
            </w:r>
          </w:p>
          <w:p w14:paraId="687D5542" w14:textId="77777777" w:rsidR="00F80BC0" w:rsidRPr="00FB4A55" w:rsidRDefault="00F80BC0">
            <w:pPr>
              <w:pStyle w:val="ListParagraph"/>
              <w:numPr>
                <w:ilvl w:val="0"/>
                <w:numId w:val="144"/>
              </w:numPr>
              <w:spacing w:after="120"/>
              <w:ind w:left="271" w:hanging="180"/>
              <w:contextualSpacing w:val="0"/>
              <w:jc w:val="both"/>
              <w:rPr>
                <w:sz w:val="20"/>
                <w:szCs w:val="20"/>
                <w:highlight w:val="yellow"/>
              </w:rPr>
            </w:pPr>
            <w:r w:rsidRPr="00FB4A55">
              <w:rPr>
                <w:sz w:val="20"/>
                <w:szCs w:val="20"/>
                <w:highlight w:val="yellow"/>
              </w:rPr>
              <w:t xml:space="preserve">a person who cooperates with a law enforcement agency in the arrest and prosecution of an individual who committed a crime and then suffered actual physical injury or threat of injury against himself or family; or </w:t>
            </w:r>
          </w:p>
          <w:p w14:paraId="2B3CBA51" w14:textId="77777777" w:rsidR="00F80BC0" w:rsidRPr="00FB4A55" w:rsidRDefault="00F80BC0">
            <w:pPr>
              <w:pStyle w:val="ListParagraph"/>
              <w:numPr>
                <w:ilvl w:val="0"/>
                <w:numId w:val="144"/>
              </w:numPr>
              <w:spacing w:after="120"/>
              <w:ind w:left="271" w:hanging="180"/>
              <w:contextualSpacing w:val="0"/>
              <w:jc w:val="both"/>
              <w:rPr>
                <w:sz w:val="20"/>
                <w:szCs w:val="20"/>
                <w:highlight w:val="yellow"/>
              </w:rPr>
            </w:pPr>
            <w:r w:rsidRPr="00FB4A55">
              <w:rPr>
                <w:sz w:val="20"/>
                <w:szCs w:val="20"/>
                <w:highlight w:val="yellow"/>
              </w:rPr>
              <w:t>a child victim of a sexual crime.</w:t>
            </w:r>
          </w:p>
        </w:tc>
        <w:tc>
          <w:tcPr>
            <w:tcW w:w="1350" w:type="dxa"/>
          </w:tcPr>
          <w:p w14:paraId="53C47A22" w14:textId="77777777" w:rsidR="00F80BC0" w:rsidRPr="00FB4A55" w:rsidRDefault="00F80BC0" w:rsidP="0053139E">
            <w:pPr>
              <w:spacing w:after="120"/>
              <w:rPr>
                <w:rFonts w:asciiTheme="minorHAnsi" w:hAnsiTheme="minorHAnsi" w:cstheme="minorHAnsi"/>
                <w:sz w:val="20"/>
                <w:szCs w:val="20"/>
                <w:highlight w:val="yellow"/>
              </w:rPr>
            </w:pPr>
            <w:r w:rsidRPr="00FB4A55">
              <w:rPr>
                <w:sz w:val="20"/>
                <w:szCs w:val="20"/>
                <w:highlight w:val="yellow"/>
              </w:rPr>
              <w:t>Tenant must inform the landlord in writing of their intent to transfer.</w:t>
            </w:r>
          </w:p>
        </w:tc>
        <w:tc>
          <w:tcPr>
            <w:tcW w:w="2443" w:type="dxa"/>
          </w:tcPr>
          <w:p w14:paraId="338E59D9" w14:textId="77777777" w:rsidR="00F80BC0" w:rsidRPr="00FB4A55" w:rsidRDefault="00F80BC0" w:rsidP="0053139E">
            <w:pPr>
              <w:spacing w:after="120"/>
              <w:rPr>
                <w:rFonts w:asciiTheme="minorHAnsi" w:hAnsiTheme="minorHAnsi" w:cstheme="minorHAnsi"/>
                <w:sz w:val="20"/>
                <w:szCs w:val="20"/>
                <w:highlight w:val="yellow"/>
              </w:rPr>
            </w:pPr>
            <w:r w:rsidRPr="00FB4A55">
              <w:rPr>
                <w:rFonts w:asciiTheme="minorHAnsi" w:hAnsiTheme="minorHAnsi" w:cstheme="minorHAnsi"/>
                <w:sz w:val="20"/>
                <w:szCs w:val="20"/>
                <w:highlight w:val="yellow"/>
              </w:rPr>
              <w:t xml:space="preserve">Appropriate documentation includes: </w:t>
            </w:r>
          </w:p>
          <w:p w14:paraId="77199818" w14:textId="77777777" w:rsidR="00F80BC0" w:rsidRPr="00FB4A55" w:rsidRDefault="00F80BC0">
            <w:pPr>
              <w:pStyle w:val="ListParagraph"/>
              <w:numPr>
                <w:ilvl w:val="0"/>
                <w:numId w:val="144"/>
              </w:numPr>
              <w:spacing w:after="120"/>
              <w:ind w:left="166" w:hanging="180"/>
              <w:contextualSpacing w:val="0"/>
              <w:rPr>
                <w:rFonts w:asciiTheme="minorHAnsi" w:hAnsiTheme="minorHAnsi" w:cstheme="minorHAnsi"/>
                <w:sz w:val="20"/>
                <w:szCs w:val="20"/>
                <w:highlight w:val="yellow"/>
              </w:rPr>
            </w:pPr>
            <w:r w:rsidRPr="00FB4A55">
              <w:rPr>
                <w:rFonts w:asciiTheme="minorHAnsi" w:hAnsiTheme="minorHAnsi" w:cstheme="minorHAnsi"/>
                <w:sz w:val="20"/>
                <w:szCs w:val="20"/>
                <w:highlight w:val="yellow"/>
              </w:rPr>
              <w:t>Court Order of Protection</w:t>
            </w:r>
          </w:p>
          <w:p w14:paraId="2BECCEC0" w14:textId="77777777" w:rsidR="00F80BC0" w:rsidRPr="00FB4A55" w:rsidRDefault="00F80BC0">
            <w:pPr>
              <w:pStyle w:val="ListParagraph"/>
              <w:numPr>
                <w:ilvl w:val="0"/>
                <w:numId w:val="144"/>
              </w:numPr>
              <w:spacing w:after="120"/>
              <w:ind w:left="166" w:hanging="180"/>
              <w:contextualSpacing w:val="0"/>
              <w:rPr>
                <w:rFonts w:asciiTheme="minorHAnsi" w:hAnsiTheme="minorHAnsi" w:cstheme="minorHAnsi"/>
                <w:sz w:val="20"/>
                <w:szCs w:val="20"/>
                <w:highlight w:val="yellow"/>
              </w:rPr>
            </w:pPr>
            <w:r w:rsidRPr="00FB4A55">
              <w:rPr>
                <w:rFonts w:asciiTheme="minorHAnsi" w:hAnsiTheme="minorHAnsi" w:cstheme="minorHAnsi"/>
                <w:sz w:val="20"/>
                <w:szCs w:val="20"/>
                <w:highlight w:val="yellow"/>
              </w:rPr>
              <w:t>Police Report or Domestic Incident Report</w:t>
            </w:r>
          </w:p>
          <w:p w14:paraId="36C4634F" w14:textId="77777777" w:rsidR="00F80BC0" w:rsidRPr="00FB4A55" w:rsidRDefault="00F80BC0">
            <w:pPr>
              <w:pStyle w:val="ListParagraph"/>
              <w:numPr>
                <w:ilvl w:val="0"/>
                <w:numId w:val="144"/>
              </w:numPr>
              <w:spacing w:after="120"/>
              <w:ind w:left="166" w:hanging="180"/>
              <w:contextualSpacing w:val="0"/>
              <w:rPr>
                <w:rFonts w:asciiTheme="minorHAnsi" w:hAnsiTheme="minorHAnsi" w:cstheme="minorHAnsi"/>
                <w:sz w:val="20"/>
                <w:szCs w:val="20"/>
                <w:highlight w:val="yellow"/>
              </w:rPr>
            </w:pPr>
            <w:r w:rsidRPr="00FB4A55">
              <w:rPr>
                <w:rFonts w:asciiTheme="minorHAnsi" w:hAnsiTheme="minorHAnsi" w:cstheme="minorHAnsi"/>
                <w:sz w:val="20"/>
                <w:szCs w:val="20"/>
                <w:highlight w:val="yellow"/>
              </w:rPr>
              <w:t>Letter from CA District Attorney or US Attorney’s Office</w:t>
            </w:r>
          </w:p>
          <w:p w14:paraId="27229316" w14:textId="77777777" w:rsidR="00F80BC0" w:rsidRPr="00FB4A55" w:rsidRDefault="00F80BC0">
            <w:pPr>
              <w:pStyle w:val="ListParagraph"/>
              <w:numPr>
                <w:ilvl w:val="0"/>
                <w:numId w:val="144"/>
              </w:numPr>
              <w:spacing w:after="120"/>
              <w:ind w:left="166" w:hanging="180"/>
              <w:contextualSpacing w:val="0"/>
              <w:rPr>
                <w:rFonts w:asciiTheme="minorHAnsi" w:hAnsiTheme="minorHAnsi" w:cstheme="minorHAnsi"/>
                <w:sz w:val="20"/>
                <w:szCs w:val="20"/>
                <w:highlight w:val="yellow"/>
              </w:rPr>
            </w:pPr>
            <w:r w:rsidRPr="00FB4A55">
              <w:rPr>
                <w:sz w:val="20"/>
                <w:szCs w:val="20"/>
                <w:highlight w:val="yellow"/>
              </w:rPr>
              <w:t>A statement expressing that the tenant reasonably believes that there is a threat of imminent harm from violence if the tenant were to remain in the same dwelling unit</w:t>
            </w:r>
          </w:p>
          <w:p w14:paraId="74716E1C" w14:textId="77777777" w:rsidR="00F80BC0" w:rsidRPr="00FB4A55" w:rsidRDefault="00F80BC0">
            <w:pPr>
              <w:pStyle w:val="ListParagraph"/>
              <w:numPr>
                <w:ilvl w:val="0"/>
                <w:numId w:val="144"/>
              </w:numPr>
              <w:spacing w:after="120"/>
              <w:ind w:left="166" w:hanging="180"/>
              <w:contextualSpacing w:val="0"/>
              <w:rPr>
                <w:rFonts w:asciiTheme="minorHAnsi" w:hAnsiTheme="minorHAnsi" w:cstheme="minorHAnsi"/>
                <w:sz w:val="20"/>
                <w:szCs w:val="20"/>
                <w:highlight w:val="yellow"/>
              </w:rPr>
            </w:pPr>
            <w:r w:rsidRPr="00FB4A55">
              <w:rPr>
                <w:rFonts w:asciiTheme="minorHAnsi" w:hAnsiTheme="minorHAnsi" w:cstheme="minorHAnsi"/>
                <w:sz w:val="20"/>
                <w:szCs w:val="20"/>
                <w:highlight w:val="yellow"/>
              </w:rPr>
              <w:t xml:space="preserve">Advocacy letter from a CSCoC provider </w:t>
            </w:r>
          </w:p>
        </w:tc>
      </w:tr>
    </w:tbl>
    <w:p w14:paraId="371AC9F1" w14:textId="77777777" w:rsidR="00F80BC0" w:rsidRPr="00FB4A55" w:rsidRDefault="00F80BC0" w:rsidP="00F80BC0">
      <w:pPr>
        <w:jc w:val="center"/>
        <w:rPr>
          <w:bCs/>
          <w:i/>
          <w:iCs/>
          <w:sz w:val="20"/>
          <w:szCs w:val="20"/>
          <w:highlight w:val="yellow"/>
        </w:rPr>
      </w:pPr>
      <w:r w:rsidRPr="00FB4A55">
        <w:rPr>
          <w:bCs/>
          <w:i/>
          <w:iCs/>
          <w:sz w:val="20"/>
          <w:szCs w:val="20"/>
          <w:highlight w:val="yellow"/>
        </w:rPr>
        <w:t>TO BE COMPLETED BY OR ON BEHALF OF THE PERSON REQUESTING A TRANSFER</w:t>
      </w:r>
    </w:p>
    <w:p w14:paraId="19C1F0A1" w14:textId="77777777" w:rsidR="00F80BC0" w:rsidRPr="00FB4A55" w:rsidRDefault="00F80BC0" w:rsidP="00F80BC0">
      <w:pPr>
        <w:tabs>
          <w:tab w:val="left" w:pos="720"/>
          <w:tab w:val="left" w:pos="1440"/>
          <w:tab w:val="left" w:pos="2880"/>
          <w:tab w:val="left" w:pos="5040"/>
          <w:tab w:val="left" w:pos="5760"/>
          <w:tab w:val="left" w:pos="7200"/>
          <w:tab w:val="right" w:pos="10080"/>
        </w:tabs>
        <w:rPr>
          <w:b/>
          <w:highlight w:val="yellow"/>
        </w:rPr>
      </w:pPr>
      <w:r w:rsidRPr="00FB4A55">
        <w:rPr>
          <w:b/>
          <w:highlight w:val="yellow"/>
        </w:rPr>
        <w:t>Type of Transfer Request:</w:t>
      </w:r>
      <w:r w:rsidRPr="00FB4A55">
        <w:rPr>
          <w:b/>
          <w:highlight w:val="yellow"/>
        </w:rPr>
        <w:tab/>
        <w:t>⃝ Emergency</w:t>
      </w:r>
      <w:r w:rsidRPr="00FB4A55">
        <w:rPr>
          <w:b/>
          <w:highlight w:val="yellow"/>
        </w:rPr>
        <w:tab/>
        <w:t xml:space="preserve">⃝ </w:t>
      </w:r>
      <w:proofErr w:type="gramStart"/>
      <w:r w:rsidRPr="00FB4A55">
        <w:rPr>
          <w:b/>
          <w:highlight w:val="yellow"/>
        </w:rPr>
        <w:t>Non-Emergency</w:t>
      </w:r>
      <w:proofErr w:type="gramEnd"/>
      <w:r w:rsidRPr="00FB4A55">
        <w:rPr>
          <w:b/>
          <w:highlight w:val="yellow"/>
        </w:rPr>
        <w:tab/>
        <w:t>⃝ Portability</w:t>
      </w:r>
      <w:r w:rsidRPr="00FB4A55">
        <w:rPr>
          <w:b/>
          <w:highlight w:val="yellow"/>
        </w:rPr>
        <w:tab/>
      </w:r>
    </w:p>
    <w:p w14:paraId="40390E4E" w14:textId="77777777" w:rsidR="00F80BC0" w:rsidRPr="00FB4A55" w:rsidRDefault="00F80BC0" w:rsidP="00F80BC0">
      <w:pPr>
        <w:tabs>
          <w:tab w:val="left" w:pos="720"/>
          <w:tab w:val="left" w:pos="1440"/>
          <w:tab w:val="right" w:pos="10080"/>
        </w:tabs>
        <w:rPr>
          <w:b/>
          <w:highlight w:val="yellow"/>
        </w:rPr>
      </w:pPr>
      <w:r w:rsidRPr="00FB4A55">
        <w:rPr>
          <w:b/>
          <w:highlight w:val="yellow"/>
        </w:rPr>
        <w:t>1.  Name of tenant requesting a transfer: ______________________________________________</w:t>
      </w:r>
    </w:p>
    <w:p w14:paraId="67E69A8E" w14:textId="77777777" w:rsidR="00F80BC0" w:rsidRPr="00FB4A55" w:rsidRDefault="00F80BC0" w:rsidP="00F80BC0">
      <w:pPr>
        <w:tabs>
          <w:tab w:val="left" w:pos="720"/>
          <w:tab w:val="left" w:pos="1440"/>
          <w:tab w:val="right" w:pos="10080"/>
        </w:tabs>
        <w:rPr>
          <w:b/>
          <w:highlight w:val="yellow"/>
        </w:rPr>
      </w:pPr>
      <w:r w:rsidRPr="00FB4A55">
        <w:rPr>
          <w:b/>
          <w:highlight w:val="yellow"/>
        </w:rPr>
        <w:t>2.  Your name (if different from tenant):________________________________________________</w:t>
      </w:r>
    </w:p>
    <w:p w14:paraId="14C419B9" w14:textId="77777777" w:rsidR="00F80BC0" w:rsidRPr="00FB4A55" w:rsidRDefault="00F80BC0" w:rsidP="00F80BC0">
      <w:pPr>
        <w:tabs>
          <w:tab w:val="left" w:pos="720"/>
          <w:tab w:val="left" w:pos="1440"/>
          <w:tab w:val="right" w:pos="10080"/>
        </w:tabs>
        <w:rPr>
          <w:b/>
          <w:highlight w:val="yellow"/>
        </w:rPr>
      </w:pPr>
      <w:r w:rsidRPr="00FB4A55">
        <w:rPr>
          <w:b/>
          <w:highlight w:val="yellow"/>
        </w:rPr>
        <w:t>3.  Name(s) of other family member(s) listed on the lease:</w:t>
      </w:r>
    </w:p>
    <w:p w14:paraId="421B8368" w14:textId="77777777" w:rsidR="00F80BC0" w:rsidRPr="00FB4A55" w:rsidRDefault="00F80BC0" w:rsidP="00F80BC0">
      <w:pPr>
        <w:tabs>
          <w:tab w:val="left" w:pos="720"/>
          <w:tab w:val="left" w:pos="1440"/>
          <w:tab w:val="right" w:pos="10080"/>
        </w:tabs>
        <w:rPr>
          <w:b/>
          <w:sz w:val="16"/>
          <w:szCs w:val="16"/>
          <w:highlight w:val="yellow"/>
        </w:rPr>
      </w:pPr>
      <w:r w:rsidRPr="00FB4A55">
        <w:rPr>
          <w:b/>
          <w:highlight w:val="yellow"/>
        </w:rPr>
        <w:t>_________________________________________________________________________________</w:t>
      </w:r>
    </w:p>
    <w:p w14:paraId="348D0546" w14:textId="77777777" w:rsidR="00F80BC0" w:rsidRPr="00FB4A55" w:rsidRDefault="00F80BC0" w:rsidP="00F80BC0">
      <w:pPr>
        <w:tabs>
          <w:tab w:val="left" w:pos="720"/>
          <w:tab w:val="left" w:pos="1440"/>
          <w:tab w:val="right" w:pos="10080"/>
        </w:tabs>
        <w:rPr>
          <w:b/>
          <w:highlight w:val="yellow"/>
        </w:rPr>
      </w:pPr>
      <w:r w:rsidRPr="00FB4A55">
        <w:rPr>
          <w:b/>
          <w:highlight w:val="yellow"/>
        </w:rPr>
        <w:t>_________________________________________________________________________________</w:t>
      </w:r>
    </w:p>
    <w:p w14:paraId="211015C3" w14:textId="77777777" w:rsidR="00F80BC0" w:rsidRPr="00FB4A55" w:rsidRDefault="00F80BC0" w:rsidP="00F80BC0">
      <w:pPr>
        <w:tabs>
          <w:tab w:val="left" w:pos="720"/>
          <w:tab w:val="left" w:pos="1440"/>
          <w:tab w:val="right" w:pos="10080"/>
        </w:tabs>
        <w:rPr>
          <w:b/>
          <w:highlight w:val="yellow"/>
        </w:rPr>
      </w:pPr>
      <w:r w:rsidRPr="00FB4A55">
        <w:rPr>
          <w:b/>
          <w:highlight w:val="yellow"/>
        </w:rPr>
        <w:t xml:space="preserve">4.  Name(s) of other family member(s) who would transfer with the tenant: </w:t>
      </w:r>
    </w:p>
    <w:p w14:paraId="011FB0B0" w14:textId="77777777" w:rsidR="00F80BC0" w:rsidRPr="00FB4A55" w:rsidRDefault="00F80BC0" w:rsidP="00F80BC0">
      <w:pPr>
        <w:tabs>
          <w:tab w:val="left" w:pos="720"/>
          <w:tab w:val="left" w:pos="1440"/>
          <w:tab w:val="right" w:pos="10080"/>
        </w:tabs>
        <w:rPr>
          <w:b/>
          <w:sz w:val="16"/>
          <w:szCs w:val="16"/>
          <w:highlight w:val="yellow"/>
        </w:rPr>
      </w:pPr>
      <w:r w:rsidRPr="00FB4A55">
        <w:rPr>
          <w:b/>
          <w:highlight w:val="yellow"/>
        </w:rPr>
        <w:t>_________________________________________________________________________________</w:t>
      </w:r>
    </w:p>
    <w:p w14:paraId="37C9F10E" w14:textId="77777777" w:rsidR="00F80BC0" w:rsidRPr="00FB4A55" w:rsidRDefault="00F80BC0" w:rsidP="00F80BC0">
      <w:pPr>
        <w:tabs>
          <w:tab w:val="left" w:pos="720"/>
          <w:tab w:val="left" w:pos="1440"/>
          <w:tab w:val="right" w:pos="10080"/>
        </w:tabs>
        <w:rPr>
          <w:b/>
          <w:sz w:val="16"/>
          <w:szCs w:val="16"/>
          <w:highlight w:val="yellow"/>
        </w:rPr>
      </w:pPr>
      <w:r w:rsidRPr="00FB4A55">
        <w:rPr>
          <w:b/>
          <w:highlight w:val="yellow"/>
        </w:rPr>
        <w:t>_________________________________________________________________________________</w:t>
      </w:r>
    </w:p>
    <w:p w14:paraId="59318ADD" w14:textId="77777777" w:rsidR="00F80BC0" w:rsidRPr="00FB4A55" w:rsidRDefault="00F80BC0" w:rsidP="00F80BC0">
      <w:pPr>
        <w:tabs>
          <w:tab w:val="left" w:pos="720"/>
          <w:tab w:val="left" w:pos="1440"/>
          <w:tab w:val="right" w:pos="10080"/>
        </w:tabs>
        <w:rPr>
          <w:b/>
          <w:highlight w:val="yellow"/>
        </w:rPr>
      </w:pPr>
      <w:r w:rsidRPr="00FB4A55">
        <w:rPr>
          <w:b/>
          <w:highlight w:val="yellow"/>
        </w:rPr>
        <w:t xml:space="preserve">5.  Address of location from which the victim seeks to transfer: </w:t>
      </w:r>
    </w:p>
    <w:p w14:paraId="5CA9315A" w14:textId="77777777" w:rsidR="00F80BC0" w:rsidRPr="00FB4A55" w:rsidRDefault="00F80BC0" w:rsidP="00F80BC0">
      <w:pPr>
        <w:tabs>
          <w:tab w:val="left" w:pos="720"/>
          <w:tab w:val="left" w:pos="1440"/>
          <w:tab w:val="right" w:pos="10080"/>
        </w:tabs>
        <w:rPr>
          <w:b/>
          <w:sz w:val="16"/>
          <w:szCs w:val="16"/>
          <w:highlight w:val="yellow"/>
        </w:rPr>
      </w:pPr>
      <w:r w:rsidRPr="00FB4A55">
        <w:rPr>
          <w:b/>
          <w:highlight w:val="yellow"/>
        </w:rPr>
        <w:t>_________________________________________________________________________________</w:t>
      </w:r>
    </w:p>
    <w:p w14:paraId="61D72734" w14:textId="77777777" w:rsidR="00F80BC0" w:rsidRPr="00FB4A55" w:rsidRDefault="00F80BC0" w:rsidP="00F80BC0">
      <w:pPr>
        <w:tabs>
          <w:tab w:val="left" w:pos="720"/>
          <w:tab w:val="left" w:pos="1440"/>
          <w:tab w:val="right" w:pos="10080"/>
        </w:tabs>
        <w:rPr>
          <w:b/>
          <w:highlight w:val="yellow"/>
        </w:rPr>
      </w:pPr>
      <w:r w:rsidRPr="00FB4A55">
        <w:rPr>
          <w:b/>
          <w:highlight w:val="yellow"/>
        </w:rPr>
        <w:t xml:space="preserve">6.  Address or phone number for contacting the tenant: </w:t>
      </w:r>
    </w:p>
    <w:p w14:paraId="1607EA1B" w14:textId="77777777" w:rsidR="00F80BC0" w:rsidRPr="00FB4A55" w:rsidRDefault="00F80BC0" w:rsidP="00F80BC0">
      <w:pPr>
        <w:tabs>
          <w:tab w:val="left" w:pos="720"/>
          <w:tab w:val="left" w:pos="1440"/>
          <w:tab w:val="right" w:pos="10080"/>
        </w:tabs>
        <w:rPr>
          <w:b/>
          <w:sz w:val="16"/>
          <w:szCs w:val="16"/>
          <w:highlight w:val="yellow"/>
        </w:rPr>
      </w:pPr>
      <w:r w:rsidRPr="00FB4A55">
        <w:rPr>
          <w:b/>
          <w:highlight w:val="yellow"/>
        </w:rPr>
        <w:t>_________________________________________________________________________________</w:t>
      </w:r>
    </w:p>
    <w:p w14:paraId="48ACDD15" w14:textId="77777777" w:rsidR="00F80BC0" w:rsidRPr="00FB4A55" w:rsidRDefault="00F80BC0" w:rsidP="00F80BC0">
      <w:pPr>
        <w:tabs>
          <w:tab w:val="left" w:pos="720"/>
          <w:tab w:val="left" w:pos="1440"/>
          <w:tab w:val="right" w:pos="10080"/>
        </w:tabs>
        <w:rPr>
          <w:b/>
          <w:highlight w:val="yellow"/>
        </w:rPr>
      </w:pPr>
      <w:r w:rsidRPr="00FB4A55">
        <w:rPr>
          <w:b/>
          <w:highlight w:val="yellow"/>
        </w:rPr>
        <w:lastRenderedPageBreak/>
        <w:t>IF EMERGENCY TRANSFER REQUESTED: Please Check Appropriate Emergency</w:t>
      </w:r>
    </w:p>
    <w:p w14:paraId="2AAA4F37" w14:textId="77777777" w:rsidR="00F80BC0" w:rsidRPr="00FB4A55" w:rsidRDefault="00F80BC0" w:rsidP="00F80BC0">
      <w:pPr>
        <w:spacing w:after="120"/>
        <w:rPr>
          <w:highlight w:val="yellow"/>
        </w:rPr>
      </w:pPr>
      <w:r w:rsidRPr="00FB4A55">
        <w:rPr>
          <w:b/>
          <w:highlight w:val="yellow"/>
        </w:rPr>
        <w:tab/>
        <w:t xml:space="preserve">⃝  </w:t>
      </w:r>
      <w:r w:rsidRPr="00FB4A55">
        <w:rPr>
          <w:highlight w:val="yellow"/>
        </w:rPr>
        <w:t xml:space="preserve">24 Hour Life Threatening </w:t>
      </w:r>
      <w:r w:rsidRPr="00FB4A55">
        <w:rPr>
          <w:highlight w:val="yellow"/>
        </w:rPr>
        <w:tab/>
      </w:r>
      <w:r w:rsidRPr="00FB4A55">
        <w:rPr>
          <w:b/>
          <w:highlight w:val="yellow"/>
        </w:rPr>
        <w:t xml:space="preserve">⃝  </w:t>
      </w:r>
      <w:r w:rsidRPr="00FB4A55">
        <w:rPr>
          <w:highlight w:val="yellow"/>
        </w:rPr>
        <w:t xml:space="preserve">Court Action </w:t>
      </w:r>
      <w:r w:rsidRPr="00FB4A55">
        <w:rPr>
          <w:highlight w:val="yellow"/>
        </w:rPr>
        <w:tab/>
      </w:r>
      <w:r w:rsidRPr="00FB4A55">
        <w:rPr>
          <w:b/>
          <w:highlight w:val="yellow"/>
        </w:rPr>
        <w:t xml:space="preserve">⃝  </w:t>
      </w:r>
      <w:r w:rsidRPr="00FB4A55">
        <w:rPr>
          <w:highlight w:val="yellow"/>
        </w:rPr>
        <w:t xml:space="preserve">Reasonable Accommodation </w:t>
      </w:r>
    </w:p>
    <w:p w14:paraId="62ADA9A0" w14:textId="77777777" w:rsidR="00F80BC0" w:rsidRPr="00FB4A55" w:rsidRDefault="00F80BC0" w:rsidP="00F80BC0">
      <w:pPr>
        <w:spacing w:after="120"/>
        <w:ind w:firstLine="720"/>
        <w:rPr>
          <w:b/>
          <w:color w:val="FF0000"/>
          <w:highlight w:val="yellow"/>
        </w:rPr>
      </w:pPr>
      <w:r w:rsidRPr="00FB4A55">
        <w:rPr>
          <w:b/>
          <w:highlight w:val="yellow"/>
        </w:rPr>
        <w:t xml:space="preserve">⃝  </w:t>
      </w:r>
      <w:r w:rsidRPr="00FB4A55">
        <w:rPr>
          <w:bCs/>
          <w:highlight w:val="yellow"/>
        </w:rPr>
        <w:t>Fire</w:t>
      </w:r>
      <w:r w:rsidRPr="00FB4A55">
        <w:rPr>
          <w:b/>
          <w:highlight w:val="yellow"/>
        </w:rPr>
        <w:t xml:space="preserve"> </w:t>
      </w:r>
      <w:r w:rsidRPr="00FB4A55">
        <w:rPr>
          <w:b/>
          <w:highlight w:val="yellow"/>
        </w:rPr>
        <w:tab/>
      </w:r>
      <w:r w:rsidRPr="00FB4A55">
        <w:rPr>
          <w:b/>
          <w:highlight w:val="yellow"/>
        </w:rPr>
        <w:tab/>
      </w:r>
      <w:r w:rsidRPr="00FB4A55">
        <w:rPr>
          <w:b/>
          <w:highlight w:val="yellow"/>
        </w:rPr>
        <w:tab/>
      </w:r>
      <w:r w:rsidRPr="00FB4A55">
        <w:rPr>
          <w:b/>
          <w:highlight w:val="yellow"/>
        </w:rPr>
        <w:tab/>
        <w:t xml:space="preserve">⃝  </w:t>
      </w:r>
      <w:r w:rsidRPr="00FB4A55">
        <w:rPr>
          <w:highlight w:val="yellow"/>
        </w:rPr>
        <w:t>Natural Disaster</w:t>
      </w:r>
      <w:r w:rsidRPr="00FB4A55">
        <w:rPr>
          <w:b/>
          <w:highlight w:val="yellow"/>
        </w:rPr>
        <w:t xml:space="preserve"> </w:t>
      </w:r>
      <w:r w:rsidRPr="00FB4A55">
        <w:rPr>
          <w:b/>
          <w:highlight w:val="yellow"/>
        </w:rPr>
        <w:tab/>
        <w:t>⃝</w:t>
      </w:r>
      <w:r w:rsidRPr="00FB4A55">
        <w:rPr>
          <w:b/>
          <w:color w:val="FF0000"/>
          <w:highlight w:val="yellow"/>
        </w:rPr>
        <w:t xml:space="preserve">  </w:t>
      </w:r>
      <w:r w:rsidRPr="00FB4A55">
        <w:rPr>
          <w:bCs/>
          <w:color w:val="FF0000"/>
          <w:highlight w:val="yellow"/>
        </w:rPr>
        <w:t>VAWA / Victim / Witness</w:t>
      </w:r>
    </w:p>
    <w:p w14:paraId="3B514541" w14:textId="77777777" w:rsidR="00F80BC0" w:rsidRPr="00FB4A55" w:rsidRDefault="00F80BC0" w:rsidP="00F80BC0">
      <w:pPr>
        <w:spacing w:after="120"/>
        <w:ind w:firstLine="720"/>
        <w:rPr>
          <w:b/>
          <w:color w:val="FF0000"/>
          <w:highlight w:val="yellow"/>
        </w:rPr>
      </w:pPr>
    </w:p>
    <w:p w14:paraId="37DA9832" w14:textId="77777777" w:rsidR="00F80BC0" w:rsidRPr="00FB4A55" w:rsidRDefault="00F80BC0" w:rsidP="00F80BC0">
      <w:pPr>
        <w:rPr>
          <w:b/>
          <w:highlight w:val="yellow"/>
        </w:rPr>
      </w:pPr>
      <w:r w:rsidRPr="00FB4A55">
        <w:rPr>
          <w:b/>
          <w:highlight w:val="yellow"/>
        </w:rPr>
        <w:t xml:space="preserve">7.  If voluntarily provided, list any third-party documentation you are providing along with this notice: </w:t>
      </w:r>
    </w:p>
    <w:p w14:paraId="580D77E0" w14:textId="77777777" w:rsidR="00F80BC0" w:rsidRPr="00FB4A55" w:rsidRDefault="00F80BC0" w:rsidP="00F80BC0">
      <w:pPr>
        <w:tabs>
          <w:tab w:val="left" w:pos="720"/>
          <w:tab w:val="left" w:pos="1440"/>
          <w:tab w:val="right" w:pos="10080"/>
        </w:tabs>
        <w:rPr>
          <w:b/>
          <w:highlight w:val="yellow"/>
        </w:rPr>
      </w:pPr>
      <w:r w:rsidRPr="00FB4A55">
        <w:rPr>
          <w:b/>
          <w:highlight w:val="yellow"/>
        </w:rPr>
        <w:t>_________________________________________________________________________________</w:t>
      </w:r>
    </w:p>
    <w:p w14:paraId="17BCB1AE" w14:textId="77777777" w:rsidR="00F80BC0" w:rsidRPr="00FB4A55" w:rsidRDefault="00F80BC0" w:rsidP="00F80BC0">
      <w:pPr>
        <w:tabs>
          <w:tab w:val="left" w:pos="720"/>
          <w:tab w:val="left" w:pos="1440"/>
          <w:tab w:val="right" w:pos="10080"/>
        </w:tabs>
        <w:rPr>
          <w:b/>
          <w:highlight w:val="yellow"/>
        </w:rPr>
      </w:pPr>
      <w:r w:rsidRPr="00FB4A55">
        <w:rPr>
          <w:b/>
          <w:highlight w:val="yellow"/>
        </w:rPr>
        <w:t>_________________________________________________________________________________</w:t>
      </w:r>
    </w:p>
    <w:p w14:paraId="3CF929DE" w14:textId="77777777" w:rsidR="00F80BC0" w:rsidRPr="00FB4A55" w:rsidRDefault="00F80BC0" w:rsidP="00F80BC0">
      <w:pPr>
        <w:spacing w:before="120" w:after="120"/>
        <w:ind w:firstLine="720"/>
        <w:rPr>
          <w:color w:val="FF0000"/>
          <w:highlight w:val="yellow"/>
        </w:rPr>
      </w:pPr>
      <w:r w:rsidRPr="00FB4A55">
        <w:rPr>
          <w:b/>
          <w:color w:val="FF0000"/>
          <w:highlight w:val="yellow"/>
        </w:rPr>
        <w:t xml:space="preserve">If VAWA / Victim / Witness is checked, complete additional questions below.  </w:t>
      </w:r>
    </w:p>
    <w:p w14:paraId="3DC7F254" w14:textId="77777777" w:rsidR="00F80BC0" w:rsidRPr="00FB4A55" w:rsidRDefault="00F80BC0" w:rsidP="00F80BC0">
      <w:pPr>
        <w:tabs>
          <w:tab w:val="left" w:pos="720"/>
          <w:tab w:val="left" w:pos="1440"/>
          <w:tab w:val="right" w:pos="10080"/>
        </w:tabs>
        <w:rPr>
          <w:b/>
          <w:color w:val="FF0000"/>
          <w:highlight w:val="yellow"/>
        </w:rPr>
      </w:pPr>
      <w:r w:rsidRPr="00FB4A55">
        <w:rPr>
          <w:b/>
          <w:color w:val="FF0000"/>
          <w:highlight w:val="yellow"/>
        </w:rPr>
        <w:t>8.  Name of the accused perpetrator (if known and can be safely disclosed):</w:t>
      </w:r>
    </w:p>
    <w:p w14:paraId="3AA861B3" w14:textId="77777777" w:rsidR="00F80BC0" w:rsidRPr="00FB4A55" w:rsidRDefault="00F80BC0" w:rsidP="00F80BC0">
      <w:pPr>
        <w:tabs>
          <w:tab w:val="left" w:pos="720"/>
          <w:tab w:val="left" w:pos="1440"/>
          <w:tab w:val="right" w:pos="10080"/>
        </w:tabs>
        <w:rPr>
          <w:b/>
          <w:color w:val="FF0000"/>
          <w:sz w:val="16"/>
          <w:szCs w:val="16"/>
          <w:highlight w:val="yellow"/>
        </w:rPr>
      </w:pPr>
      <w:r w:rsidRPr="00FB4A55">
        <w:rPr>
          <w:b/>
          <w:color w:val="FF0000"/>
          <w:highlight w:val="yellow"/>
        </w:rPr>
        <w:t>_________________________________________________________________________________</w:t>
      </w:r>
    </w:p>
    <w:p w14:paraId="68B8DA0E" w14:textId="77777777" w:rsidR="00F80BC0" w:rsidRPr="00FB4A55" w:rsidRDefault="00F80BC0" w:rsidP="00F80BC0">
      <w:pPr>
        <w:tabs>
          <w:tab w:val="left" w:pos="720"/>
          <w:tab w:val="left" w:pos="1440"/>
          <w:tab w:val="right" w:pos="10080"/>
        </w:tabs>
        <w:rPr>
          <w:b/>
          <w:color w:val="FF0000"/>
          <w:highlight w:val="yellow"/>
        </w:rPr>
      </w:pPr>
      <w:r w:rsidRPr="00FB4A55">
        <w:rPr>
          <w:b/>
          <w:color w:val="FF0000"/>
          <w:highlight w:val="yellow"/>
        </w:rPr>
        <w:t>9.  Relationship of the accused perpetrator to the tenant:</w:t>
      </w:r>
    </w:p>
    <w:p w14:paraId="1692369C" w14:textId="77777777" w:rsidR="00F80BC0" w:rsidRPr="00FB4A55" w:rsidRDefault="00F80BC0" w:rsidP="00F80BC0">
      <w:pPr>
        <w:tabs>
          <w:tab w:val="left" w:pos="720"/>
          <w:tab w:val="left" w:pos="1440"/>
          <w:tab w:val="right" w:pos="10080"/>
        </w:tabs>
        <w:rPr>
          <w:b/>
          <w:color w:val="FF0000"/>
          <w:sz w:val="16"/>
          <w:szCs w:val="16"/>
          <w:highlight w:val="yellow"/>
        </w:rPr>
      </w:pPr>
      <w:r w:rsidRPr="00FB4A55">
        <w:rPr>
          <w:b/>
          <w:color w:val="FF0000"/>
          <w:highlight w:val="yellow"/>
        </w:rPr>
        <w:t>_________________________________________________________________________________</w:t>
      </w:r>
    </w:p>
    <w:p w14:paraId="0245CB41" w14:textId="77777777" w:rsidR="00F80BC0" w:rsidRPr="00FB4A55" w:rsidRDefault="00F80BC0" w:rsidP="00F80BC0">
      <w:pPr>
        <w:tabs>
          <w:tab w:val="left" w:pos="720"/>
          <w:tab w:val="left" w:pos="1440"/>
          <w:tab w:val="right" w:pos="10080"/>
        </w:tabs>
        <w:rPr>
          <w:b/>
          <w:color w:val="FF0000"/>
          <w:highlight w:val="yellow"/>
        </w:rPr>
      </w:pPr>
      <w:r w:rsidRPr="00FB4A55">
        <w:rPr>
          <w:b/>
          <w:color w:val="FF0000"/>
          <w:highlight w:val="yellow"/>
        </w:rPr>
        <w:t>10.  Date(s), Time(s) and location(s) of incident(s):</w:t>
      </w:r>
    </w:p>
    <w:p w14:paraId="4A932227" w14:textId="77777777" w:rsidR="00F80BC0" w:rsidRPr="00FB4A55" w:rsidRDefault="00F80BC0" w:rsidP="00F80BC0">
      <w:pPr>
        <w:tabs>
          <w:tab w:val="left" w:pos="720"/>
          <w:tab w:val="left" w:pos="1440"/>
          <w:tab w:val="right" w:pos="10080"/>
        </w:tabs>
        <w:rPr>
          <w:b/>
          <w:color w:val="FF0000"/>
          <w:sz w:val="16"/>
          <w:szCs w:val="16"/>
          <w:highlight w:val="yellow"/>
        </w:rPr>
      </w:pPr>
      <w:r w:rsidRPr="00FB4A55">
        <w:rPr>
          <w:b/>
          <w:color w:val="FF0000"/>
          <w:highlight w:val="yellow"/>
        </w:rPr>
        <w:t>_________________________________________________________________________________</w:t>
      </w:r>
    </w:p>
    <w:p w14:paraId="09920C17" w14:textId="77777777" w:rsidR="00F80BC0" w:rsidRPr="00FB4A55" w:rsidRDefault="00F80BC0" w:rsidP="00F80BC0">
      <w:pPr>
        <w:rPr>
          <w:b/>
          <w:color w:val="FF0000"/>
          <w:highlight w:val="yellow"/>
        </w:rPr>
      </w:pPr>
      <w:r w:rsidRPr="00FB4A55">
        <w:rPr>
          <w:b/>
          <w:color w:val="FF0000"/>
          <w:highlight w:val="yellow"/>
        </w:rPr>
        <w:t xml:space="preserve">11.  Describe why the tenant believes they are threatened with </w:t>
      </w:r>
      <w:r w:rsidRPr="00FB4A55">
        <w:rPr>
          <w:b/>
          <w:bCs/>
          <w:color w:val="FF0000"/>
          <w:highlight w:val="yellow"/>
        </w:rPr>
        <w:t xml:space="preserve">imminent harm from further violence if they remain in their current unit.  </w:t>
      </w:r>
    </w:p>
    <w:p w14:paraId="42E67146" w14:textId="77777777" w:rsidR="00F80BC0" w:rsidRPr="00FB4A55" w:rsidRDefault="00F80BC0" w:rsidP="00F80BC0">
      <w:pPr>
        <w:tabs>
          <w:tab w:val="left" w:pos="720"/>
          <w:tab w:val="left" w:pos="1440"/>
          <w:tab w:val="right" w:pos="10080"/>
        </w:tabs>
        <w:rPr>
          <w:b/>
          <w:color w:val="FF0000"/>
          <w:highlight w:val="yellow"/>
        </w:rPr>
      </w:pPr>
      <w:r w:rsidRPr="00FB4A55">
        <w:rPr>
          <w:b/>
          <w:color w:val="FF0000"/>
          <w:highlight w:val="yellow"/>
        </w:rPr>
        <w:t>_________________________________________________________________________________</w:t>
      </w:r>
    </w:p>
    <w:p w14:paraId="1D9456A2" w14:textId="77777777" w:rsidR="00F80BC0" w:rsidRPr="00FB4A55" w:rsidRDefault="00F80BC0" w:rsidP="00F80BC0">
      <w:pPr>
        <w:tabs>
          <w:tab w:val="left" w:pos="720"/>
          <w:tab w:val="left" w:pos="1440"/>
          <w:tab w:val="right" w:pos="10080"/>
        </w:tabs>
        <w:rPr>
          <w:b/>
          <w:color w:val="FF0000"/>
          <w:highlight w:val="yellow"/>
        </w:rPr>
      </w:pPr>
      <w:r w:rsidRPr="00FB4A55">
        <w:rPr>
          <w:b/>
          <w:color w:val="FF0000"/>
          <w:highlight w:val="yellow"/>
        </w:rPr>
        <w:t>_________________________________________________________________________________</w:t>
      </w:r>
    </w:p>
    <w:p w14:paraId="5ECC5446" w14:textId="77777777" w:rsidR="00F80BC0" w:rsidRPr="00FB4A55" w:rsidRDefault="00F80BC0" w:rsidP="00F80BC0">
      <w:pPr>
        <w:tabs>
          <w:tab w:val="left" w:pos="720"/>
          <w:tab w:val="left" w:pos="1440"/>
          <w:tab w:val="right" w:pos="10080"/>
        </w:tabs>
        <w:rPr>
          <w:b/>
          <w:color w:val="FF0000"/>
          <w:highlight w:val="yellow"/>
        </w:rPr>
      </w:pPr>
      <w:r w:rsidRPr="00FB4A55">
        <w:rPr>
          <w:b/>
          <w:color w:val="FF0000"/>
          <w:highlight w:val="yellow"/>
        </w:rPr>
        <w:t>_________________________________________________________________________________</w:t>
      </w:r>
    </w:p>
    <w:p w14:paraId="5FC9EFF3" w14:textId="77777777" w:rsidR="00F80BC0" w:rsidRPr="00FB4A55" w:rsidRDefault="00F80BC0" w:rsidP="00F80BC0">
      <w:pPr>
        <w:tabs>
          <w:tab w:val="left" w:pos="720"/>
          <w:tab w:val="left" w:pos="1440"/>
          <w:tab w:val="right" w:pos="10080"/>
        </w:tabs>
        <w:rPr>
          <w:b/>
          <w:color w:val="FF0000"/>
          <w:highlight w:val="yellow"/>
        </w:rPr>
      </w:pPr>
      <w:r w:rsidRPr="00FB4A55">
        <w:rPr>
          <w:b/>
          <w:color w:val="FF0000"/>
          <w:highlight w:val="yellow"/>
        </w:rPr>
        <w:t>_________________________________________________________________________________</w:t>
      </w:r>
    </w:p>
    <w:p w14:paraId="6107140B" w14:textId="77777777" w:rsidR="00F80BC0" w:rsidRPr="00FB4A55" w:rsidRDefault="00F80BC0" w:rsidP="00F80BC0">
      <w:pPr>
        <w:rPr>
          <w:b/>
          <w:highlight w:val="yellow"/>
        </w:rPr>
      </w:pPr>
    </w:p>
    <w:p w14:paraId="6798D0DF" w14:textId="77777777" w:rsidR="00F80BC0" w:rsidRPr="00FB4A55" w:rsidRDefault="00F80BC0" w:rsidP="00F80BC0">
      <w:pPr>
        <w:rPr>
          <w:b/>
          <w:highlight w:val="yellow"/>
        </w:rPr>
      </w:pPr>
      <w:r w:rsidRPr="00FB4A55">
        <w:rPr>
          <w:b/>
          <w:noProof/>
          <w:highlight w:val="yellow"/>
        </w:rPr>
        <mc:AlternateContent>
          <mc:Choice Requires="wps">
            <w:drawing>
              <wp:anchor distT="0" distB="0" distL="114300" distR="114300" simplePos="0" relativeHeight="251664384" behindDoc="0" locked="0" layoutInCell="1" allowOverlap="1" wp14:anchorId="5A70F339" wp14:editId="3A2FA7F3">
                <wp:simplePos x="0" y="0"/>
                <wp:positionH relativeFrom="column">
                  <wp:posOffset>-1905</wp:posOffset>
                </wp:positionH>
                <wp:positionV relativeFrom="paragraph">
                  <wp:posOffset>38735</wp:posOffset>
                </wp:positionV>
                <wp:extent cx="56692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66928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58B21784"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3.05pt" to="446.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" strokecolor="windowText">
                <v:stroke dashstyle="dash"/>
              </v:line>
            </w:pict>
          </mc:Fallback>
        </mc:AlternateContent>
      </w:r>
    </w:p>
    <w:p w14:paraId="6C91E3E9" w14:textId="77777777" w:rsidR="00F80BC0" w:rsidRPr="00FB4A55" w:rsidRDefault="00F80BC0" w:rsidP="00F80BC0">
      <w:pPr>
        <w:tabs>
          <w:tab w:val="left" w:pos="720"/>
          <w:tab w:val="left" w:pos="1440"/>
          <w:tab w:val="right" w:pos="10080"/>
        </w:tabs>
        <w:jc w:val="both"/>
        <w:rPr>
          <w:bCs/>
          <w:highlight w:val="yellow"/>
        </w:rPr>
      </w:pPr>
      <w:r w:rsidRPr="00FB4A55">
        <w:rPr>
          <w:highlight w:val="yellow"/>
        </w:rPr>
        <w:t xml:space="preserve">This is to certify that the information provided on this form is true and correct to the best of my knowledge, and that the individual named above in Item 1 meets the requirement laid out on this form for an emergency transfer.  I acknowledge that </w:t>
      </w:r>
      <w:r w:rsidRPr="00FB4A55">
        <w:rPr>
          <w:bCs/>
          <w:highlight w:val="yellow"/>
        </w:rPr>
        <w:t xml:space="preserve">submission of false information could jeopardize program eligibility and could be the basis for denial of admission, termination of assistance, or eviction. </w:t>
      </w:r>
    </w:p>
    <w:p w14:paraId="33E146E0" w14:textId="77777777" w:rsidR="00F80BC0" w:rsidRPr="00FB4A55" w:rsidRDefault="00F80BC0" w:rsidP="00F80BC0">
      <w:pPr>
        <w:tabs>
          <w:tab w:val="right" w:leader="underscore" w:pos="9450"/>
          <w:tab w:val="right" w:leader="underscore" w:pos="10080"/>
        </w:tabs>
        <w:rPr>
          <w:highlight w:val="yellow"/>
        </w:rPr>
      </w:pPr>
    </w:p>
    <w:p w14:paraId="6468C222" w14:textId="77777777" w:rsidR="00F80BC0" w:rsidRPr="00FB4A55" w:rsidRDefault="00F80BC0" w:rsidP="00F80BC0">
      <w:pPr>
        <w:tabs>
          <w:tab w:val="right" w:leader="underscore" w:pos="9450"/>
          <w:tab w:val="right" w:leader="underscore" w:pos="10080"/>
        </w:tabs>
        <w:rPr>
          <w:highlight w:val="yellow"/>
        </w:rPr>
      </w:pPr>
      <w:r w:rsidRPr="00FB4A55">
        <w:rPr>
          <w:highlight w:val="yellow"/>
        </w:rPr>
        <w:t>Signature __________________________________</w:t>
      </w:r>
    </w:p>
    <w:p w14:paraId="21EC8C7D" w14:textId="77777777" w:rsidR="00F80BC0" w:rsidRPr="00867B5A" w:rsidRDefault="00F80BC0" w:rsidP="00F80BC0">
      <w:pPr>
        <w:tabs>
          <w:tab w:val="right" w:leader="underscore" w:pos="9450"/>
          <w:tab w:val="right" w:leader="underscore" w:pos="10080"/>
        </w:tabs>
      </w:pPr>
      <w:r w:rsidRPr="00FB4A55">
        <w:rPr>
          <w:highlight w:val="yellow"/>
        </w:rPr>
        <w:t>Signed on (Date) ___________________________</w:t>
      </w:r>
    </w:p>
    <w:p w14:paraId="0AD64DBD" w14:textId="77777777" w:rsidR="00F80BC0" w:rsidRPr="00882BAC" w:rsidRDefault="00F80BC0" w:rsidP="00F80BC0">
      <w:pPr>
        <w:spacing w:after="240"/>
        <w:rPr>
          <w:rFonts w:asciiTheme="minorHAnsi" w:hAnsiTheme="minorHAnsi" w:cstheme="minorHAnsi"/>
        </w:rPr>
      </w:pPr>
    </w:p>
    <w:p w14:paraId="27439CA3" w14:textId="083C0DBE" w:rsidR="00F80BC0" w:rsidRPr="00BE4733" w:rsidRDefault="00F80BC0" w:rsidP="00BE4733">
      <w:pPr>
        <w:ind w:left="-630"/>
        <w:contextualSpacing/>
        <w:rPr>
          <w:rFonts w:ascii="Calibri" w:hAnsi="Calibri" w:cs="Calibri"/>
          <w:color w:val="000000" w:themeColor="text1"/>
          <w:sz w:val="22"/>
          <w:szCs w:val="22"/>
        </w:rPr>
        <w:sectPr w:rsidR="00F80BC0" w:rsidRPr="00BE4733" w:rsidSect="00D170AD">
          <w:headerReference w:type="default" r:id="rId32"/>
          <w:headerReference w:type="first" r:id="rId33"/>
          <w:type w:val="continuous"/>
          <w:pgSz w:w="15840" w:h="12240" w:orient="landscape"/>
          <w:pgMar w:top="720" w:right="1440" w:bottom="720" w:left="1440" w:header="720" w:footer="720" w:gutter="0"/>
          <w:pgNumType w:start="0"/>
          <w:cols w:space="720"/>
          <w:titlePg/>
          <w:docGrid w:linePitch="360"/>
        </w:sectPr>
      </w:pPr>
    </w:p>
    <w:p w14:paraId="1E8A543F" w14:textId="10B3F59E" w:rsidR="00932464" w:rsidRPr="00EE1DEE" w:rsidRDefault="00932464" w:rsidP="00BE4733">
      <w:pPr>
        <w:pStyle w:val="Heading1"/>
        <w:rPr>
          <w:rFonts w:ascii="Calibri" w:hAnsi="Calibri" w:cs="Calibri"/>
          <w:color w:val="auto"/>
          <w:sz w:val="24"/>
          <w:szCs w:val="24"/>
        </w:rPr>
      </w:pPr>
    </w:p>
    <w:sectPr w:rsidR="00932464" w:rsidRPr="00EE1DEE" w:rsidSect="00932464">
      <w:pgSz w:w="12240" w:h="15840"/>
      <w:pgMar w:top="1440" w:right="1440" w:bottom="1440" w:left="1440" w:header="720" w:footer="720" w:gutter="0"/>
      <w:pgNumType w:start="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01E9" w14:textId="77777777" w:rsidR="005169C6" w:rsidRDefault="005169C6" w:rsidP="00C459CF">
      <w:r>
        <w:separator/>
      </w:r>
    </w:p>
  </w:endnote>
  <w:endnote w:type="continuationSeparator" w:id="0">
    <w:p w14:paraId="2000A745" w14:textId="77777777" w:rsidR="005169C6" w:rsidRDefault="005169C6" w:rsidP="00C4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09F8" w14:textId="6D81210D" w:rsidR="00CC61AB" w:rsidRDefault="00CC61AB" w:rsidP="00E626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A0E11">
      <w:rPr>
        <w:rStyle w:val="PageNumber"/>
        <w:noProof/>
      </w:rPr>
      <w:t>1</w:t>
    </w:r>
    <w:r>
      <w:rPr>
        <w:rStyle w:val="PageNumber"/>
      </w:rPr>
      <w:fldChar w:fldCharType="end"/>
    </w:r>
  </w:p>
  <w:p w14:paraId="07D5262B" w14:textId="11F49AC4" w:rsidR="00CC61AB" w:rsidRDefault="00CC61AB" w:rsidP="00E6268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5A0E11">
      <w:rPr>
        <w:rStyle w:val="PageNumber"/>
        <w:noProof/>
      </w:rPr>
      <w:t>1</w:t>
    </w:r>
    <w:r>
      <w:rPr>
        <w:rStyle w:val="PageNumber"/>
      </w:rPr>
      <w:fldChar w:fldCharType="end"/>
    </w:r>
  </w:p>
  <w:p w14:paraId="17260682" w14:textId="77777777" w:rsidR="00CC61AB" w:rsidRDefault="00CC61AB" w:rsidP="005B5877">
    <w:pPr>
      <w:pStyle w:val="Footer"/>
      <w:ind w:right="360"/>
    </w:pPr>
  </w:p>
  <w:p w14:paraId="7F807058" w14:textId="77777777" w:rsidR="00CC61AB" w:rsidRDefault="00CC61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474022"/>
      <w:docPartObj>
        <w:docPartGallery w:val="Page Numbers (Bottom of Page)"/>
        <w:docPartUnique/>
      </w:docPartObj>
    </w:sdtPr>
    <w:sdtEndPr>
      <w:rPr>
        <w:noProof/>
      </w:rPr>
    </w:sdtEndPr>
    <w:sdtContent>
      <w:p w14:paraId="039AB8D4" w14:textId="1F81EADB" w:rsidR="0041284A" w:rsidRDefault="004128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E79042" w14:textId="77777777" w:rsidR="00CC61AB" w:rsidRDefault="00CC61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9CBB" w14:textId="77777777" w:rsidR="005169C6" w:rsidRDefault="005169C6" w:rsidP="00C459CF">
      <w:r>
        <w:separator/>
      </w:r>
    </w:p>
  </w:footnote>
  <w:footnote w:type="continuationSeparator" w:id="0">
    <w:p w14:paraId="6FAA5287" w14:textId="77777777" w:rsidR="005169C6" w:rsidRDefault="005169C6" w:rsidP="00C459CF">
      <w:r>
        <w:continuationSeparator/>
      </w:r>
    </w:p>
  </w:footnote>
  <w:footnote w:id="1">
    <w:p w14:paraId="574A00EA" w14:textId="77777777" w:rsidR="00AF7381" w:rsidRDefault="00AF7381" w:rsidP="00AF7381">
      <w:pPr>
        <w:pStyle w:val="FootnoteText"/>
        <w:spacing w:after="60"/>
        <w:jc w:val="both"/>
      </w:pPr>
      <w:r>
        <w:rPr>
          <w:rStyle w:val="FootnoteReference"/>
        </w:rPr>
        <w:footnoteRef/>
      </w:r>
      <w:r>
        <w:t xml:space="preserve">   Family separation policy: The CSCoC believes that households experiencing homelessness with minors should not be separated unless the health and well-being of the minors are at immediate risk.  In addition, a broad definition of household or family shall be used that allows for female headed, male headed, two parent, same sex parent, LGBTQ parent, and extended families to be served together with their children as one household.</w:t>
      </w:r>
    </w:p>
    <w:p w14:paraId="4D11E7C6" w14:textId="77777777" w:rsidR="00AF7381" w:rsidRDefault="00AF7381" w:rsidP="00AF7381">
      <w:pPr>
        <w:pStyle w:val="FootnoteText"/>
        <w:spacing w:after="60"/>
        <w:jc w:val="both"/>
      </w:pPr>
      <w:r>
        <w:t xml:space="preserve">    Education and family stabilization:  The CSCoC requires all projects to assure that school-age children are linked to the local school liaison to ensure rapid enrollment (within three days) and access to other services.</w:t>
      </w:r>
    </w:p>
  </w:footnote>
  <w:footnote w:id="2">
    <w:p w14:paraId="689A52A0" w14:textId="77777777" w:rsidR="00FB4A55" w:rsidRPr="00345B00" w:rsidRDefault="00FB4A55" w:rsidP="00FB4A55">
      <w:pPr>
        <w:pStyle w:val="FootnoteText"/>
        <w:tabs>
          <w:tab w:val="left" w:pos="180"/>
        </w:tabs>
        <w:spacing w:after="60"/>
        <w:jc w:val="both"/>
      </w:pPr>
      <w:r w:rsidRPr="00345B00">
        <w:rPr>
          <w:rStyle w:val="FootnoteReference"/>
        </w:rPr>
        <w:footnoteRef/>
      </w:r>
      <w:r w:rsidRPr="00345B00">
        <w:t xml:space="preserve"> </w:t>
      </w:r>
      <w:r>
        <w:tab/>
      </w:r>
      <w:r w:rsidRPr="00345B00">
        <w:t>Despite the name of this law, VAWA protection is available to all victims of domestic violence, dating violence, sexual assault, and stalking, regardless of sex, gender identity, or sexual orientation.</w:t>
      </w:r>
    </w:p>
  </w:footnote>
  <w:footnote w:id="3">
    <w:p w14:paraId="0360B126" w14:textId="77777777" w:rsidR="00FB4A55" w:rsidRPr="00345B00" w:rsidRDefault="00FB4A55" w:rsidP="00FB4A55">
      <w:pPr>
        <w:keepLines/>
        <w:widowControl w:val="0"/>
        <w:tabs>
          <w:tab w:val="left" w:pos="180"/>
        </w:tabs>
        <w:spacing w:after="60"/>
        <w:jc w:val="both"/>
        <w:rPr>
          <w:sz w:val="20"/>
          <w:szCs w:val="20"/>
        </w:rPr>
      </w:pPr>
      <w:r w:rsidRPr="00345B00">
        <w:rPr>
          <w:rStyle w:val="FootnoteReference"/>
          <w:sz w:val="20"/>
          <w:szCs w:val="20"/>
        </w:rPr>
        <w:footnoteRef/>
      </w:r>
      <w:r w:rsidRPr="00345B00">
        <w:rPr>
          <w:sz w:val="20"/>
          <w:szCs w:val="20"/>
        </w:rPr>
        <w:t xml:space="preserve"> Housing providers cannot discriminate on the basis </w:t>
      </w:r>
      <w:r>
        <w:rPr>
          <w:sz w:val="20"/>
          <w:szCs w:val="20"/>
        </w:rPr>
        <w:t>of any protected</w:t>
      </w:r>
      <w:r w:rsidRPr="00176B78">
        <w:t xml:space="preserve"> </w:t>
      </w:r>
      <w:r w:rsidRPr="00176B78">
        <w:rPr>
          <w:sz w:val="20"/>
          <w:szCs w:val="20"/>
        </w:rPr>
        <w:t>characteristic</w:t>
      </w:r>
      <w:r w:rsidRPr="00345B00">
        <w:rPr>
          <w:sz w:val="20"/>
          <w:szCs w:val="20"/>
        </w:rPr>
        <w:t xml:space="preserve">, including race, color, national origin, religion, sex, familial status, disability, or age.  HUD-assisted and HUD-insured </w:t>
      </w:r>
      <w:r>
        <w:rPr>
          <w:sz w:val="20"/>
          <w:szCs w:val="20"/>
        </w:rPr>
        <w:t xml:space="preserve">housing </w:t>
      </w:r>
      <w:r w:rsidRPr="00345B00">
        <w:rPr>
          <w:sz w:val="20"/>
          <w:szCs w:val="20"/>
        </w:rPr>
        <w:t>must be made available to all otherwise eligible individuals regardless of actual or perceived sexual orientation, gender identity, or marital status.</w:t>
      </w:r>
    </w:p>
    <w:p w14:paraId="2F78BD4C" w14:textId="77777777" w:rsidR="00FB4A55" w:rsidRDefault="00FB4A55" w:rsidP="00FB4A55">
      <w:pPr>
        <w:pStyle w:val="FootnoteText"/>
      </w:pPr>
    </w:p>
  </w:footnote>
  <w:footnote w:id="4">
    <w:p w14:paraId="4602D2D1" w14:textId="77777777" w:rsidR="00FB4A55" w:rsidRDefault="00FB4A55" w:rsidP="00FB4A55">
      <w:pPr>
        <w:pStyle w:val="FootnoteText"/>
        <w:spacing w:after="60"/>
        <w:jc w:val="both"/>
      </w:pPr>
      <w:r>
        <w:rPr>
          <w:rStyle w:val="FootnoteReference"/>
        </w:rPr>
        <w:footnoteRef/>
      </w:r>
      <w:r>
        <w:t xml:space="preserve">    An “affiliated individual” is defined as a spouse; parent; brother; sister; child; or a person who whom the tenant stands in the place of a parent or guardian, i.e., a person in the tenant’s care, custody, or control.  </w:t>
      </w:r>
    </w:p>
    <w:p w14:paraId="755E7D54" w14:textId="77777777" w:rsidR="00FB4A55" w:rsidRDefault="00FB4A55" w:rsidP="00FB4A55">
      <w:pPr>
        <w:pStyle w:val="FootnoteText"/>
        <w:spacing w:after="60"/>
        <w:jc w:val="both"/>
      </w:pPr>
      <w:r>
        <w:t xml:space="preserve">      If a tenant requests an emergency transfer based on an incident involving an individual who is not a tenant or authorized household member, staff will review the request to determine whether the individual qualifies as an “affiliated individual” and whether the tenant qualifies for emergency transfer under VAWA.</w:t>
      </w:r>
    </w:p>
    <w:p w14:paraId="44FB04D0" w14:textId="77777777" w:rsidR="00FB4A55" w:rsidRDefault="00FB4A55" w:rsidP="00FB4A55">
      <w:pPr>
        <w:pStyle w:val="FootnoteText"/>
        <w:spacing w:after="60"/>
        <w:jc w:val="both"/>
      </w:pPr>
      <w:r>
        <w:t xml:space="preserve">     The ability to request a transfer under VAWA is available regardless of sex, gender identity, or sexual orientation.</w:t>
      </w:r>
    </w:p>
  </w:footnote>
  <w:footnote w:id="5">
    <w:p w14:paraId="6CF47ECB" w14:textId="77777777" w:rsidR="00FB4A55" w:rsidRDefault="00FB4A55" w:rsidP="00FB4A55">
      <w:pPr>
        <w:pStyle w:val="FootnoteText"/>
        <w:spacing w:after="60"/>
        <w:jc w:val="both"/>
      </w:pPr>
      <w:r>
        <w:rPr>
          <w:rStyle w:val="FootnoteReference"/>
        </w:rPr>
        <w:footnoteRef/>
      </w:r>
      <w:r>
        <w:t xml:space="preserve">   Family members include spouse, children, stepchildren, parents, stepparents, siblings (including half-siblings), grandparents, grandchildren, son-in-law, daughter-in-law, mother-in-law, father-in law, or a person registered as the domestic partner of the tenant.</w:t>
      </w:r>
    </w:p>
  </w:footnote>
  <w:footnote w:id="6">
    <w:p w14:paraId="7AB12CC6" w14:textId="77777777" w:rsidR="00FB4A55" w:rsidRPr="00926881" w:rsidRDefault="00FB4A55" w:rsidP="00FB4A55">
      <w:pPr>
        <w:pStyle w:val="FootnoteText"/>
        <w:spacing w:after="60"/>
        <w:jc w:val="both"/>
        <w:rPr>
          <w:rFonts w:cs="Calibri"/>
        </w:rPr>
      </w:pPr>
      <w:r w:rsidRPr="00926881">
        <w:rPr>
          <w:rStyle w:val="FootnoteReference"/>
        </w:rPr>
        <w:footnoteRef/>
      </w:r>
      <w:r w:rsidRPr="00926881">
        <w:t xml:space="preserve"> </w:t>
      </w:r>
      <w:r w:rsidRPr="00926881">
        <w:rPr>
          <w:rFonts w:cs="Calibri"/>
        </w:rPr>
        <w:t>If a tenant submits a completed, signed Emergency Transfer Request Form for VAWA Victims, CSCoC cannot require the tenant to submit additional third-party documentation.</w:t>
      </w:r>
    </w:p>
    <w:p w14:paraId="7A0FB205" w14:textId="77777777" w:rsidR="00FB4A55" w:rsidRPr="00926881" w:rsidRDefault="00FB4A55" w:rsidP="00FB4A55">
      <w:pPr>
        <w:pStyle w:val="FootnoteText"/>
        <w:spacing w:after="60"/>
        <w:jc w:val="both"/>
      </w:pPr>
      <w:r w:rsidRPr="00926881">
        <w:t>Exceptions:  Third-party documentation is required in 3 situations:</w:t>
      </w:r>
    </w:p>
    <w:p w14:paraId="472D6107" w14:textId="77777777" w:rsidR="00FB4A55" w:rsidRPr="00926881" w:rsidRDefault="00FB4A55">
      <w:pPr>
        <w:pStyle w:val="FootnoteText"/>
        <w:numPr>
          <w:ilvl w:val="0"/>
          <w:numId w:val="142"/>
        </w:numPr>
        <w:spacing w:after="60"/>
        <w:jc w:val="both"/>
      </w:pPr>
      <w:r w:rsidRPr="00926881">
        <w:t>If a tenant submits and emergency transfer request and certification with conflicting information;</w:t>
      </w:r>
    </w:p>
    <w:p w14:paraId="32F02315" w14:textId="77777777" w:rsidR="00FB4A55" w:rsidRPr="00926881" w:rsidRDefault="00FB4A55">
      <w:pPr>
        <w:pStyle w:val="FootnoteText"/>
        <w:numPr>
          <w:ilvl w:val="0"/>
          <w:numId w:val="142"/>
        </w:numPr>
        <w:spacing w:after="60"/>
        <w:jc w:val="both"/>
      </w:pPr>
      <w:r w:rsidRPr="00926881">
        <w:t>If a tenant submits documentation that conflicts with existing information CSCoC housing providers already have, or reliable information CSCoC housing providers regularly receive; or</w:t>
      </w:r>
    </w:p>
    <w:p w14:paraId="417EB8CA" w14:textId="77777777" w:rsidR="00FB4A55" w:rsidRPr="00926881" w:rsidRDefault="00FB4A55" w:rsidP="00FB4A55">
      <w:pPr>
        <w:pStyle w:val="FootnoteText"/>
        <w:spacing w:after="60"/>
        <w:jc w:val="both"/>
      </w:pPr>
      <w:r w:rsidRPr="00926881">
        <w:t>If CSCoC receives cross-complaints wherein requests are received from two or more members of a household, each claiming to be a victim and naming one or more of the other petitioning household members as the perpetrator.  See Conflicting Information and Cross-Complaints, below for more information.</w:t>
      </w:r>
    </w:p>
  </w:footnote>
  <w:footnote w:id="7">
    <w:p w14:paraId="5D17E56B" w14:textId="1F017986" w:rsidR="00CC61AB" w:rsidRDefault="00CC61AB" w:rsidP="00A00978">
      <w:r>
        <w:rPr>
          <w:rStyle w:val="FootnoteReference"/>
        </w:rPr>
        <w:footnoteRef/>
      </w:r>
      <w:r>
        <w:t xml:space="preserve"> </w:t>
      </w:r>
      <w:r w:rsidRPr="00A00978">
        <w:rPr>
          <w:rFonts w:ascii="Calibri" w:hAnsi="Calibri" w:cs="Calibri"/>
          <w:sz w:val="20"/>
          <w:szCs w:val="20"/>
        </w:rPr>
        <w:t xml:space="preserve">For a full list of mandated reporters, please see </w:t>
      </w:r>
      <w:r w:rsidRPr="00A00978">
        <w:rPr>
          <w:rFonts w:ascii="Calibri" w:hAnsi="Calibri" w:cs="Calibri"/>
          <w:color w:val="000000"/>
          <w:sz w:val="20"/>
          <w:szCs w:val="20"/>
          <w:shd w:val="clear" w:color="auto" w:fill="FFFFFF"/>
        </w:rPr>
        <w:t>California Penal Code Section 11165.7</w:t>
      </w:r>
    </w:p>
  </w:footnote>
  <w:footnote w:id="8">
    <w:p w14:paraId="476F19F1" w14:textId="77777777" w:rsidR="00A81B74" w:rsidRDefault="00A81B74" w:rsidP="00A81B74">
      <w:pPr>
        <w:pStyle w:val="FootnoteText"/>
      </w:pPr>
      <w:r>
        <w:rPr>
          <w:rStyle w:val="FootnoteReference"/>
        </w:rPr>
        <w:footnoteRef/>
      </w:r>
      <w:r>
        <w:t xml:space="preserve"> </w:t>
      </w:r>
      <w:r w:rsidRPr="008849F8">
        <w:t>24 CFR § 576.403(c)</w:t>
      </w:r>
    </w:p>
  </w:footnote>
  <w:footnote w:id="9">
    <w:p w14:paraId="0C43007B" w14:textId="77777777" w:rsidR="00A81B74" w:rsidRDefault="00A81B74" w:rsidP="00A81B74">
      <w:pPr>
        <w:pStyle w:val="FootnoteText"/>
      </w:pPr>
      <w:r>
        <w:rPr>
          <w:rStyle w:val="FootnoteReference"/>
        </w:rPr>
        <w:footnoteRef/>
      </w:r>
      <w:r>
        <w:t xml:space="preserve"> </w:t>
      </w:r>
      <w:r w:rsidRPr="008849F8">
        <w:t>24 CFR § 982.401</w:t>
      </w:r>
      <w:r>
        <w:t xml:space="preserve">, </w:t>
      </w:r>
      <w:r w:rsidRPr="008849F8">
        <w:t xml:space="preserve">24 CFR § 578.75(b) </w:t>
      </w:r>
    </w:p>
  </w:footnote>
  <w:footnote w:id="10">
    <w:p w14:paraId="514AF1BD" w14:textId="77777777" w:rsidR="00F80BC0" w:rsidRDefault="00F80BC0" w:rsidP="00F80BC0">
      <w:pPr>
        <w:pStyle w:val="FootnoteText"/>
        <w:spacing w:after="60"/>
        <w:jc w:val="both"/>
      </w:pPr>
      <w:r>
        <w:rPr>
          <w:rStyle w:val="FootnoteReference"/>
        </w:rPr>
        <w:footnoteRef/>
      </w:r>
      <w:r>
        <w:t xml:space="preserve">  </w:t>
      </w:r>
      <w:r w:rsidRPr="00882BAC">
        <w:rPr>
          <w:rFonts w:asciiTheme="minorHAnsi" w:hAnsiTheme="minorHAnsi" w:cstheme="minorHAnsi"/>
          <w:bCs/>
        </w:rPr>
        <w:t xml:space="preserve">Examples of third party documentation include, but are not limited to: </w:t>
      </w:r>
      <w:r w:rsidRPr="00882BAC">
        <w:rPr>
          <w:rFonts w:asciiTheme="minorHAnsi" w:hAnsiTheme="minorHAnsi" w:cstheme="minorHAnsi"/>
        </w:rPr>
        <w:t>a letter or other documentation from a victim service provider, social worker, legal assistance provider, pastoral counselor, mental health provider, or other professional from whom you have sought assistance; a current restraining order; a recent court order or other court records; a law enforcement report or records; communication records from the perpetrator of the violence or family members or friends of the perpetrator of the violence, including emails, voicemails, text messages, and social media posts.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0639" w14:textId="77777777" w:rsidR="0048650A" w:rsidRDefault="0048650A" w:rsidP="002625B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370D" w14:textId="7DE2CCD4" w:rsidR="0048650A" w:rsidRDefault="0048650A" w:rsidP="002625B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DF1"/>
    <w:multiLevelType w:val="hybridMultilevel"/>
    <w:tmpl w:val="A3D2311E"/>
    <w:lvl w:ilvl="0" w:tplc="46989078">
      <w:start w:val="1"/>
      <w:numFmt w:val="decimal"/>
      <w:lvlText w:val="(%1)"/>
      <w:lvlJc w:val="left"/>
    </w:lvl>
    <w:lvl w:ilvl="1" w:tplc="0409000F">
      <w:start w:val="1"/>
      <w:numFmt w:val="decimal"/>
      <w:lvlText w:val="%2."/>
      <w:lvlJc w:val="left"/>
      <w:pPr>
        <w:ind w:left="360" w:hanging="360"/>
      </w:pPr>
    </w:lvl>
    <w:lvl w:ilvl="2" w:tplc="32486AD2">
      <w:numFmt w:val="decimal"/>
      <w:lvlText w:val=""/>
      <w:lvlJc w:val="left"/>
    </w:lvl>
    <w:lvl w:ilvl="3" w:tplc="860018C8">
      <w:numFmt w:val="decimal"/>
      <w:lvlText w:val=""/>
      <w:lvlJc w:val="left"/>
    </w:lvl>
    <w:lvl w:ilvl="4" w:tplc="1E1436C0">
      <w:numFmt w:val="decimal"/>
      <w:lvlText w:val=""/>
      <w:lvlJc w:val="left"/>
    </w:lvl>
    <w:lvl w:ilvl="5" w:tplc="D164628A">
      <w:numFmt w:val="decimal"/>
      <w:lvlText w:val=""/>
      <w:lvlJc w:val="left"/>
    </w:lvl>
    <w:lvl w:ilvl="6" w:tplc="DE5027EE">
      <w:numFmt w:val="decimal"/>
      <w:lvlText w:val=""/>
      <w:lvlJc w:val="left"/>
    </w:lvl>
    <w:lvl w:ilvl="7" w:tplc="35CC46DA">
      <w:numFmt w:val="decimal"/>
      <w:lvlText w:val=""/>
      <w:lvlJc w:val="left"/>
    </w:lvl>
    <w:lvl w:ilvl="8" w:tplc="9BAA4532">
      <w:numFmt w:val="decimal"/>
      <w:lvlText w:val=""/>
      <w:lvlJc w:val="left"/>
    </w:lvl>
  </w:abstractNum>
  <w:abstractNum w:abstractNumId="1" w15:restartNumberingAfterBreak="0">
    <w:nsid w:val="021F7D4B"/>
    <w:multiLevelType w:val="hybridMultilevel"/>
    <w:tmpl w:val="9390656C"/>
    <w:lvl w:ilvl="0" w:tplc="FFFFFFFF">
      <w:start w:val="1"/>
      <w:numFmt w:val="lowerLetter"/>
      <w:lvlText w:val="%1."/>
      <w:lvlJc w:val="left"/>
      <w:pPr>
        <w:ind w:left="1440" w:hanging="360"/>
      </w:pPr>
    </w:lvl>
    <w:lvl w:ilvl="1" w:tplc="FFFFFFFF">
      <w:start w:val="1"/>
      <w:numFmt w:val="lowerRoman"/>
      <w:lvlText w:val="%2."/>
      <w:lvlJc w:val="right"/>
      <w:pPr>
        <w:ind w:left="3060" w:hanging="360"/>
      </w:pPr>
    </w:lvl>
    <w:lvl w:ilvl="2" w:tplc="0409000F">
      <w:start w:val="1"/>
      <w:numFmt w:val="decimal"/>
      <w:lvlText w:val="%3."/>
      <w:lvlJc w:val="left"/>
      <w:pPr>
        <w:ind w:left="360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C90B84"/>
    <w:multiLevelType w:val="hybridMultilevel"/>
    <w:tmpl w:val="4472561E"/>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3993995"/>
    <w:multiLevelType w:val="hybridMultilevel"/>
    <w:tmpl w:val="4EE415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D24E7C"/>
    <w:multiLevelType w:val="hybridMultilevel"/>
    <w:tmpl w:val="C9F2D5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915859"/>
    <w:multiLevelType w:val="hybridMultilevel"/>
    <w:tmpl w:val="4F9EE6AE"/>
    <w:lvl w:ilvl="0" w:tplc="FFFFFFFF">
      <w:start w:val="1"/>
      <w:numFmt w:val="lowerLetter"/>
      <w:lvlText w:val="%1."/>
      <w:lvlJc w:val="left"/>
      <w:pPr>
        <w:ind w:left="1440" w:hanging="360"/>
      </w:pPr>
    </w:lvl>
    <w:lvl w:ilvl="1" w:tplc="FFFFFFFF">
      <w:start w:val="1"/>
      <w:numFmt w:val="lowerRoman"/>
      <w:lvlText w:val="%2."/>
      <w:lvlJc w:val="right"/>
      <w:pPr>
        <w:ind w:left="3060" w:hanging="360"/>
      </w:pPr>
    </w:lvl>
    <w:lvl w:ilvl="2" w:tplc="0409000F">
      <w:start w:val="1"/>
      <w:numFmt w:val="decimal"/>
      <w:lvlText w:val="%3."/>
      <w:lvlJc w:val="left"/>
      <w:pPr>
        <w:ind w:left="360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4C9451D"/>
    <w:multiLevelType w:val="hybridMultilevel"/>
    <w:tmpl w:val="BE24047C"/>
    <w:lvl w:ilvl="0" w:tplc="FFFFFFFF">
      <w:start w:val="1"/>
      <w:numFmt w:val="lowerLetter"/>
      <w:lvlText w:val="%1."/>
      <w:lvlJc w:val="left"/>
      <w:pPr>
        <w:ind w:left="144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1E4F74"/>
    <w:multiLevelType w:val="hybridMultilevel"/>
    <w:tmpl w:val="9CF4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3E1EC3"/>
    <w:multiLevelType w:val="hybridMultilevel"/>
    <w:tmpl w:val="BE24047C"/>
    <w:lvl w:ilvl="0" w:tplc="FFFFFFFF">
      <w:start w:val="1"/>
      <w:numFmt w:val="lowerLetter"/>
      <w:lvlText w:val="%1."/>
      <w:lvlJc w:val="left"/>
      <w:pPr>
        <w:ind w:left="144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1967C5"/>
    <w:multiLevelType w:val="hybridMultilevel"/>
    <w:tmpl w:val="75584B2A"/>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7991B81"/>
    <w:multiLevelType w:val="hybridMultilevel"/>
    <w:tmpl w:val="01A6B6B6"/>
    <w:lvl w:ilvl="0" w:tplc="FFFFFFFF">
      <w:start w:val="1"/>
      <w:numFmt w:val="lowerLetter"/>
      <w:lvlText w:val="%1."/>
      <w:lvlJc w:val="left"/>
      <w:pPr>
        <w:ind w:left="1440" w:hanging="360"/>
      </w:pPr>
      <w:rPr>
        <w:b w:val="0"/>
      </w:rPr>
    </w:lvl>
    <w:lvl w:ilvl="1" w:tplc="0409001B">
      <w:start w:val="1"/>
      <w:numFmt w:val="lowerRoman"/>
      <w:lvlText w:val="%2."/>
      <w:lvlJc w:val="right"/>
      <w:pPr>
        <w:ind w:left="23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B42B52"/>
    <w:multiLevelType w:val="hybridMultilevel"/>
    <w:tmpl w:val="596A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F83F1C"/>
    <w:multiLevelType w:val="hybridMultilevel"/>
    <w:tmpl w:val="BE24047C"/>
    <w:lvl w:ilvl="0" w:tplc="FFFFFFFF">
      <w:start w:val="1"/>
      <w:numFmt w:val="lowerLetter"/>
      <w:lvlText w:val="%1."/>
      <w:lvlJc w:val="left"/>
      <w:pPr>
        <w:ind w:left="144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0411D7"/>
    <w:multiLevelType w:val="multilevel"/>
    <w:tmpl w:val="549EC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4C52B6"/>
    <w:multiLevelType w:val="hybridMultilevel"/>
    <w:tmpl w:val="B35438DE"/>
    <w:lvl w:ilvl="0" w:tplc="FFFFFFFF">
      <w:start w:val="1"/>
      <w:numFmt w:val="lowerLetter"/>
      <w:lvlText w:val="%1."/>
      <w:lvlJc w:val="left"/>
      <w:pPr>
        <w:ind w:left="144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020D3E"/>
    <w:multiLevelType w:val="hybridMultilevel"/>
    <w:tmpl w:val="63AE966E"/>
    <w:lvl w:ilvl="0" w:tplc="FFFFFFFF">
      <w:start w:val="1"/>
      <w:numFmt w:val="lowerLetter"/>
      <w:lvlText w:val="%1."/>
      <w:lvlJc w:val="left"/>
      <w:pPr>
        <w:ind w:left="1440" w:hanging="360"/>
      </w:pPr>
    </w:lvl>
    <w:lvl w:ilvl="1" w:tplc="0409001B">
      <w:start w:val="1"/>
      <w:numFmt w:val="lowerRoman"/>
      <w:lvlText w:val="%2."/>
      <w:lvlJc w:val="right"/>
      <w:pPr>
        <w:ind w:left="234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0A4658D3"/>
    <w:multiLevelType w:val="hybridMultilevel"/>
    <w:tmpl w:val="A9DE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6152BC"/>
    <w:multiLevelType w:val="hybridMultilevel"/>
    <w:tmpl w:val="8E640E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0B8775B7"/>
    <w:multiLevelType w:val="hybridMultilevel"/>
    <w:tmpl w:val="182A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ED2C47"/>
    <w:multiLevelType w:val="hybridMultilevel"/>
    <w:tmpl w:val="BE24047C"/>
    <w:lvl w:ilvl="0" w:tplc="D62E54D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D717B3"/>
    <w:multiLevelType w:val="hybridMultilevel"/>
    <w:tmpl w:val="B4F22B02"/>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0DEF3A71"/>
    <w:multiLevelType w:val="hybridMultilevel"/>
    <w:tmpl w:val="9830D13A"/>
    <w:lvl w:ilvl="0" w:tplc="FFFFFFFF">
      <w:start w:val="1"/>
      <w:numFmt w:val="lowerLetter"/>
      <w:lvlText w:val="%1."/>
      <w:lvlJc w:val="left"/>
      <w:pPr>
        <w:ind w:left="1440" w:hanging="360"/>
      </w:pPr>
    </w:lvl>
    <w:lvl w:ilvl="1" w:tplc="0409001B">
      <w:start w:val="1"/>
      <w:numFmt w:val="lowerRoman"/>
      <w:lvlText w:val="%2."/>
      <w:lvlJc w:val="right"/>
      <w:pPr>
        <w:ind w:left="30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0E8B146E"/>
    <w:multiLevelType w:val="hybridMultilevel"/>
    <w:tmpl w:val="88A8FA7A"/>
    <w:lvl w:ilvl="0" w:tplc="FFFFFFFF">
      <w:start w:val="1"/>
      <w:numFmt w:val="lowerLetter"/>
      <w:lvlText w:val="%1."/>
      <w:lvlJc w:val="left"/>
      <w:pPr>
        <w:ind w:left="1440" w:hanging="360"/>
      </w:pPr>
      <w:rPr>
        <w:b w:val="0"/>
      </w:rPr>
    </w:lvl>
    <w:lvl w:ilvl="1" w:tplc="0409001B">
      <w:start w:val="1"/>
      <w:numFmt w:val="lowerRoman"/>
      <w:lvlText w:val="%2."/>
      <w:lvlJc w:val="right"/>
      <w:pPr>
        <w:ind w:left="23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1702510"/>
    <w:multiLevelType w:val="hybridMultilevel"/>
    <w:tmpl w:val="3298694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12EF1EDC"/>
    <w:multiLevelType w:val="hybridMultilevel"/>
    <w:tmpl w:val="12FA485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166420F0"/>
    <w:multiLevelType w:val="hybridMultilevel"/>
    <w:tmpl w:val="D61ED870"/>
    <w:lvl w:ilvl="0" w:tplc="57B88B96">
      <w:start w:val="1"/>
      <w:numFmt w:val="lowerLetter"/>
      <w:lvlText w:val="%1."/>
      <w:lvlJc w:val="left"/>
      <w:pPr>
        <w:ind w:left="144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84732E"/>
    <w:multiLevelType w:val="hybridMultilevel"/>
    <w:tmpl w:val="BE24047C"/>
    <w:lvl w:ilvl="0" w:tplc="FFFFFFFF">
      <w:start w:val="1"/>
      <w:numFmt w:val="lowerLetter"/>
      <w:lvlText w:val="%1."/>
      <w:lvlJc w:val="left"/>
      <w:pPr>
        <w:ind w:left="144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80B1399"/>
    <w:multiLevelType w:val="hybridMultilevel"/>
    <w:tmpl w:val="1E6A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4074C0"/>
    <w:multiLevelType w:val="hybridMultilevel"/>
    <w:tmpl w:val="25E296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57557C"/>
    <w:multiLevelType w:val="hybridMultilevel"/>
    <w:tmpl w:val="B016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951914"/>
    <w:multiLevelType w:val="hybridMultilevel"/>
    <w:tmpl w:val="A0405CCE"/>
    <w:lvl w:ilvl="0" w:tplc="FFFFFFFF">
      <w:start w:val="1"/>
      <w:numFmt w:val="lowerLetter"/>
      <w:lvlText w:val="%1."/>
      <w:lvlJc w:val="left"/>
      <w:pPr>
        <w:ind w:left="1440" w:hanging="360"/>
      </w:pPr>
      <w:rPr>
        <w:b w:val="0"/>
      </w:rPr>
    </w:lvl>
    <w:lvl w:ilvl="1" w:tplc="0409001B">
      <w:start w:val="1"/>
      <w:numFmt w:val="lowerRoman"/>
      <w:lvlText w:val="%2."/>
      <w:lvlJc w:val="right"/>
      <w:pPr>
        <w:ind w:left="23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9A50FB5"/>
    <w:multiLevelType w:val="hybridMultilevel"/>
    <w:tmpl w:val="A0B6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FD3C94"/>
    <w:multiLevelType w:val="hybridMultilevel"/>
    <w:tmpl w:val="6D748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A9C1116"/>
    <w:multiLevelType w:val="hybridMultilevel"/>
    <w:tmpl w:val="61D83728"/>
    <w:lvl w:ilvl="0" w:tplc="FFFFFFFF">
      <w:start w:val="1"/>
      <w:numFmt w:val="lowerLetter"/>
      <w:lvlText w:val="%1."/>
      <w:lvlJc w:val="left"/>
      <w:pPr>
        <w:ind w:left="1440" w:hanging="360"/>
      </w:pPr>
    </w:lvl>
    <w:lvl w:ilvl="1" w:tplc="0409001B">
      <w:start w:val="1"/>
      <w:numFmt w:val="lowerRoman"/>
      <w:lvlText w:val="%2."/>
      <w:lvlJc w:val="right"/>
      <w:pPr>
        <w:ind w:left="234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1B3A373E"/>
    <w:multiLevelType w:val="hybridMultilevel"/>
    <w:tmpl w:val="BE24047C"/>
    <w:lvl w:ilvl="0" w:tplc="FFFFFFFF">
      <w:start w:val="1"/>
      <w:numFmt w:val="lowerLetter"/>
      <w:lvlText w:val="%1."/>
      <w:lvlJc w:val="left"/>
      <w:pPr>
        <w:ind w:left="144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C755964"/>
    <w:multiLevelType w:val="hybridMultilevel"/>
    <w:tmpl w:val="E4AE680E"/>
    <w:lvl w:ilvl="0" w:tplc="FFFFFFFF">
      <w:start w:val="1"/>
      <w:numFmt w:val="lowerLetter"/>
      <w:lvlText w:val="%1."/>
      <w:lvlJc w:val="left"/>
      <w:pPr>
        <w:ind w:left="1440" w:hanging="360"/>
      </w:pPr>
    </w:lvl>
    <w:lvl w:ilvl="1" w:tplc="FFFFFFFF">
      <w:start w:val="1"/>
      <w:numFmt w:val="lowerRoman"/>
      <w:lvlText w:val="%2."/>
      <w:lvlJc w:val="right"/>
      <w:pPr>
        <w:ind w:left="3060" w:hanging="360"/>
      </w:pPr>
    </w:lvl>
    <w:lvl w:ilvl="2" w:tplc="0409000F">
      <w:start w:val="1"/>
      <w:numFmt w:val="decimal"/>
      <w:lvlText w:val="%3."/>
      <w:lvlJc w:val="left"/>
      <w:pPr>
        <w:ind w:left="360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1E927085"/>
    <w:multiLevelType w:val="hybridMultilevel"/>
    <w:tmpl w:val="50CE6322"/>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1FAC3B13"/>
    <w:multiLevelType w:val="hybridMultilevel"/>
    <w:tmpl w:val="B4F22B02"/>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21D4053E"/>
    <w:multiLevelType w:val="hybridMultilevel"/>
    <w:tmpl w:val="89DE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7B3A55"/>
    <w:multiLevelType w:val="hybridMultilevel"/>
    <w:tmpl w:val="4EE415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F91475"/>
    <w:multiLevelType w:val="hybridMultilevel"/>
    <w:tmpl w:val="BE24047C"/>
    <w:lvl w:ilvl="0" w:tplc="FFFFFFFF">
      <w:start w:val="1"/>
      <w:numFmt w:val="lowerLetter"/>
      <w:lvlText w:val="%1."/>
      <w:lvlJc w:val="left"/>
      <w:pPr>
        <w:ind w:left="144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5170BBF"/>
    <w:multiLevelType w:val="hybridMultilevel"/>
    <w:tmpl w:val="1E1A3FE2"/>
    <w:lvl w:ilvl="0" w:tplc="1F926702">
      <w:start w:val="1"/>
      <w:numFmt w:val="upperRoman"/>
      <w:lvlText w:val="%1."/>
      <w:lvlJc w:val="right"/>
      <w:pPr>
        <w:tabs>
          <w:tab w:val="num" w:pos="720"/>
        </w:tabs>
        <w:ind w:left="720" w:hanging="18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5170CE8"/>
    <w:multiLevelType w:val="hybridMultilevel"/>
    <w:tmpl w:val="B4F22B02"/>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25514997"/>
    <w:multiLevelType w:val="hybridMultilevel"/>
    <w:tmpl w:val="B4F22B0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57244C1"/>
    <w:multiLevelType w:val="hybridMultilevel"/>
    <w:tmpl w:val="18689ADA"/>
    <w:lvl w:ilvl="0" w:tplc="FFFFFFFF">
      <w:start w:val="1"/>
      <w:numFmt w:val="lowerLetter"/>
      <w:lvlText w:val="%1."/>
      <w:lvlJc w:val="left"/>
      <w:pPr>
        <w:ind w:left="1440" w:hanging="360"/>
      </w:pPr>
      <w:rPr>
        <w:b w:val="0"/>
      </w:rPr>
    </w:lvl>
    <w:lvl w:ilvl="1" w:tplc="0409001B">
      <w:start w:val="1"/>
      <w:numFmt w:val="lowerRoman"/>
      <w:lvlText w:val="%2."/>
      <w:lvlJc w:val="right"/>
      <w:pPr>
        <w:ind w:left="23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61D637D"/>
    <w:multiLevelType w:val="hybridMultilevel"/>
    <w:tmpl w:val="BE24047C"/>
    <w:lvl w:ilvl="0" w:tplc="FFFFFFFF">
      <w:start w:val="1"/>
      <w:numFmt w:val="lowerLetter"/>
      <w:lvlText w:val="%1."/>
      <w:lvlJc w:val="left"/>
      <w:pPr>
        <w:ind w:left="144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62D4637"/>
    <w:multiLevelType w:val="hybridMultilevel"/>
    <w:tmpl w:val="BE24047C"/>
    <w:lvl w:ilvl="0" w:tplc="FFFFFFFF">
      <w:start w:val="1"/>
      <w:numFmt w:val="lowerLetter"/>
      <w:lvlText w:val="%1."/>
      <w:lvlJc w:val="left"/>
      <w:pPr>
        <w:ind w:left="144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8A46604"/>
    <w:multiLevelType w:val="hybridMultilevel"/>
    <w:tmpl w:val="B4F22B02"/>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294B5D6B"/>
    <w:multiLevelType w:val="hybridMultilevel"/>
    <w:tmpl w:val="DF3A77A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9" w15:restartNumberingAfterBreak="0">
    <w:nsid w:val="2B51108D"/>
    <w:multiLevelType w:val="hybridMultilevel"/>
    <w:tmpl w:val="B4F22B02"/>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2B5D4410"/>
    <w:multiLevelType w:val="hybridMultilevel"/>
    <w:tmpl w:val="CF301640"/>
    <w:lvl w:ilvl="0" w:tplc="04090013">
      <w:start w:val="1"/>
      <w:numFmt w:val="upperRoman"/>
      <w:lvlText w:val="%1."/>
      <w:lvlJc w:val="right"/>
      <w:pPr>
        <w:tabs>
          <w:tab w:val="num" w:pos="720"/>
        </w:tabs>
        <w:ind w:left="720" w:hanging="18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BDA16C2"/>
    <w:multiLevelType w:val="hybridMultilevel"/>
    <w:tmpl w:val="78109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A72F58"/>
    <w:multiLevelType w:val="hybridMultilevel"/>
    <w:tmpl w:val="234A31F6"/>
    <w:lvl w:ilvl="0" w:tplc="463260F6">
      <w:start w:val="1"/>
      <w:numFmt w:val="upperRoman"/>
      <w:lvlText w:val="%1."/>
      <w:lvlJc w:val="right"/>
      <w:pPr>
        <w:tabs>
          <w:tab w:val="num" w:pos="720"/>
        </w:tabs>
        <w:ind w:left="72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D1E107B"/>
    <w:multiLevelType w:val="hybridMultilevel"/>
    <w:tmpl w:val="1E1A3FE2"/>
    <w:lvl w:ilvl="0" w:tplc="1F926702">
      <w:start w:val="1"/>
      <w:numFmt w:val="upperRoman"/>
      <w:lvlText w:val="%1."/>
      <w:lvlJc w:val="right"/>
      <w:pPr>
        <w:tabs>
          <w:tab w:val="num" w:pos="720"/>
        </w:tabs>
        <w:ind w:left="720" w:hanging="18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7B0748"/>
    <w:multiLevelType w:val="hybridMultilevel"/>
    <w:tmpl w:val="BE24047C"/>
    <w:lvl w:ilvl="0" w:tplc="FFFFFFFF">
      <w:start w:val="1"/>
      <w:numFmt w:val="lowerLetter"/>
      <w:lvlText w:val="%1."/>
      <w:lvlJc w:val="left"/>
      <w:pPr>
        <w:ind w:left="144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DA97243"/>
    <w:multiLevelType w:val="hybridMultilevel"/>
    <w:tmpl w:val="DF3A77A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6" w15:restartNumberingAfterBreak="0">
    <w:nsid w:val="2E232932"/>
    <w:multiLevelType w:val="hybridMultilevel"/>
    <w:tmpl w:val="0BA619CE"/>
    <w:lvl w:ilvl="0" w:tplc="D62E54D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E412181"/>
    <w:multiLevelType w:val="hybridMultilevel"/>
    <w:tmpl w:val="BE24047C"/>
    <w:lvl w:ilvl="0" w:tplc="FFFFFFFF">
      <w:start w:val="1"/>
      <w:numFmt w:val="lowerLetter"/>
      <w:lvlText w:val="%1."/>
      <w:lvlJc w:val="left"/>
      <w:pPr>
        <w:ind w:left="144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EA22C40"/>
    <w:multiLevelType w:val="hybridMultilevel"/>
    <w:tmpl w:val="A98A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B45F8E"/>
    <w:multiLevelType w:val="hybridMultilevel"/>
    <w:tmpl w:val="B380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EEF31EC"/>
    <w:multiLevelType w:val="hybridMultilevel"/>
    <w:tmpl w:val="B35438DE"/>
    <w:lvl w:ilvl="0" w:tplc="FFFFFFFF">
      <w:start w:val="1"/>
      <w:numFmt w:val="lowerLetter"/>
      <w:lvlText w:val="%1."/>
      <w:lvlJc w:val="left"/>
      <w:pPr>
        <w:ind w:left="144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F854756"/>
    <w:multiLevelType w:val="hybridMultilevel"/>
    <w:tmpl w:val="BE24047C"/>
    <w:lvl w:ilvl="0" w:tplc="FFFFFFFF">
      <w:start w:val="1"/>
      <w:numFmt w:val="lowerLetter"/>
      <w:lvlText w:val="%1."/>
      <w:lvlJc w:val="left"/>
      <w:pPr>
        <w:ind w:left="144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FAF0233"/>
    <w:multiLevelType w:val="hybridMultilevel"/>
    <w:tmpl w:val="9AD8F35C"/>
    <w:lvl w:ilvl="0" w:tplc="FFFFFFFF">
      <w:start w:val="1"/>
      <w:numFmt w:val="lowerLetter"/>
      <w:lvlText w:val="%1."/>
      <w:lvlJc w:val="left"/>
      <w:pPr>
        <w:ind w:left="1440" w:hanging="360"/>
      </w:pPr>
    </w:lvl>
    <w:lvl w:ilvl="1" w:tplc="FFFFFFFF">
      <w:start w:val="1"/>
      <w:numFmt w:val="lowerRoman"/>
      <w:lvlText w:val="%2."/>
      <w:lvlJc w:val="right"/>
      <w:pPr>
        <w:ind w:left="3060" w:hanging="360"/>
      </w:pPr>
    </w:lvl>
    <w:lvl w:ilvl="2" w:tplc="0409000F">
      <w:start w:val="1"/>
      <w:numFmt w:val="decimal"/>
      <w:lvlText w:val="%3."/>
      <w:lvlJc w:val="left"/>
      <w:pPr>
        <w:ind w:left="360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2FFA467C"/>
    <w:multiLevelType w:val="hybridMultilevel"/>
    <w:tmpl w:val="FB1AD0D2"/>
    <w:lvl w:ilvl="0" w:tplc="89585D52">
      <w:start w:val="1"/>
      <w:numFmt w:val="upperRoman"/>
      <w:lvlText w:val="%1."/>
      <w:lvlJc w:val="left"/>
      <w:pPr>
        <w:ind w:left="1080" w:hanging="720"/>
      </w:pPr>
      <w:rPr>
        <w:rFonts w:hint="default"/>
      </w:rPr>
    </w:lvl>
    <w:lvl w:ilvl="1" w:tplc="975E81C6">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1AA0BA0"/>
    <w:multiLevelType w:val="hybridMultilevel"/>
    <w:tmpl w:val="12FA485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320B0454"/>
    <w:multiLevelType w:val="hybridMultilevel"/>
    <w:tmpl w:val="CBA05C7E"/>
    <w:lvl w:ilvl="0" w:tplc="FFFFFFFF">
      <w:start w:val="6"/>
      <w:numFmt w:val="decimal"/>
      <w:lvlText w:val="%1."/>
      <w:lvlJc w:val="left"/>
      <w:pPr>
        <w:ind w:left="30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2E35A6D"/>
    <w:multiLevelType w:val="hybridMultilevel"/>
    <w:tmpl w:val="B19A0AE0"/>
    <w:lvl w:ilvl="0" w:tplc="FFFFFFFF">
      <w:start w:val="1"/>
      <w:numFmt w:val="lowerLetter"/>
      <w:lvlText w:val="%1."/>
      <w:lvlJc w:val="left"/>
      <w:pPr>
        <w:ind w:left="1440" w:hanging="360"/>
      </w:pPr>
      <w:rPr>
        <w:b w:val="0"/>
      </w:rPr>
    </w:lvl>
    <w:lvl w:ilvl="1" w:tplc="0409001B">
      <w:start w:val="1"/>
      <w:numFmt w:val="lowerRoman"/>
      <w:lvlText w:val="%2."/>
      <w:lvlJc w:val="right"/>
      <w:pPr>
        <w:ind w:left="23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3D10BB1"/>
    <w:multiLevelType w:val="hybridMultilevel"/>
    <w:tmpl w:val="6C5A3108"/>
    <w:lvl w:ilvl="0" w:tplc="31EC77E8">
      <w:start w:val="1"/>
      <w:numFmt w:val="upperRoman"/>
      <w:lvlText w:val="%1."/>
      <w:lvlJc w:val="right"/>
      <w:pPr>
        <w:tabs>
          <w:tab w:val="num" w:pos="720"/>
        </w:tabs>
        <w:ind w:left="72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4C11799"/>
    <w:multiLevelType w:val="hybridMultilevel"/>
    <w:tmpl w:val="BE24047C"/>
    <w:lvl w:ilvl="0" w:tplc="D62E54D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5C63594"/>
    <w:multiLevelType w:val="hybridMultilevel"/>
    <w:tmpl w:val="7A1E3806"/>
    <w:lvl w:ilvl="0" w:tplc="975E81C6">
      <w:start w:val="1"/>
      <w:numFmt w:val="lowerLetter"/>
      <w:lvlText w:val="%1."/>
      <w:lvlJc w:val="left"/>
      <w:pPr>
        <w:ind w:left="144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67442D"/>
    <w:multiLevelType w:val="multilevel"/>
    <w:tmpl w:val="72E076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6FB7E52"/>
    <w:multiLevelType w:val="hybridMultilevel"/>
    <w:tmpl w:val="8E640E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15:restartNumberingAfterBreak="0">
    <w:nsid w:val="3724185A"/>
    <w:multiLevelType w:val="hybridMultilevel"/>
    <w:tmpl w:val="B4F22B02"/>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37D22187"/>
    <w:multiLevelType w:val="hybridMultilevel"/>
    <w:tmpl w:val="BADC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7FA25A7"/>
    <w:multiLevelType w:val="hybridMultilevel"/>
    <w:tmpl w:val="E6828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89445E8"/>
    <w:multiLevelType w:val="hybridMultilevel"/>
    <w:tmpl w:val="566E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9C775D"/>
    <w:multiLevelType w:val="hybridMultilevel"/>
    <w:tmpl w:val="B4F22B0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8DC0F53"/>
    <w:multiLevelType w:val="hybridMultilevel"/>
    <w:tmpl w:val="B4F22B0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9551F8F"/>
    <w:multiLevelType w:val="hybridMultilevel"/>
    <w:tmpl w:val="25E296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9E41593"/>
    <w:multiLevelType w:val="hybridMultilevel"/>
    <w:tmpl w:val="9018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3A00F4"/>
    <w:multiLevelType w:val="hybridMultilevel"/>
    <w:tmpl w:val="D67AC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5E443E6">
      <w:start w:val="6"/>
      <w:numFmt w:val="bullet"/>
      <w:lvlText w:val="-"/>
      <w:lvlJc w:val="left"/>
      <w:pPr>
        <w:ind w:left="2160" w:hanging="360"/>
      </w:pPr>
      <w:rPr>
        <w:rFonts w:ascii="Times New Roman" w:eastAsiaTheme="minorHAnsi" w:hAnsi="Times New Roman" w:cs="Times New Roman" w:hint="default"/>
        <w:u w:val="no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AB26EF1"/>
    <w:multiLevelType w:val="hybridMultilevel"/>
    <w:tmpl w:val="B35438DE"/>
    <w:lvl w:ilvl="0" w:tplc="FFFFFFFF">
      <w:start w:val="1"/>
      <w:numFmt w:val="lowerLetter"/>
      <w:lvlText w:val="%1."/>
      <w:lvlJc w:val="left"/>
      <w:pPr>
        <w:ind w:left="144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AFF04FA"/>
    <w:multiLevelType w:val="hybridMultilevel"/>
    <w:tmpl w:val="18586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B043D09"/>
    <w:multiLevelType w:val="hybridMultilevel"/>
    <w:tmpl w:val="A5A2D58E"/>
    <w:lvl w:ilvl="0" w:tplc="60565590">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BFE51EC"/>
    <w:multiLevelType w:val="hybridMultilevel"/>
    <w:tmpl w:val="12FA485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3C193B09"/>
    <w:multiLevelType w:val="hybridMultilevel"/>
    <w:tmpl w:val="07D00732"/>
    <w:lvl w:ilvl="0" w:tplc="E804865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C677135"/>
    <w:multiLevelType w:val="hybridMultilevel"/>
    <w:tmpl w:val="186EB136"/>
    <w:lvl w:ilvl="0" w:tplc="FFFFFFFF">
      <w:start w:val="1"/>
      <w:numFmt w:val="lowerLetter"/>
      <w:lvlText w:val="%1."/>
      <w:lvlJc w:val="left"/>
      <w:pPr>
        <w:ind w:left="144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3CB8195B"/>
    <w:multiLevelType w:val="hybridMultilevel"/>
    <w:tmpl w:val="CA7C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CC642D6"/>
    <w:multiLevelType w:val="hybridMultilevel"/>
    <w:tmpl w:val="8D14B6C8"/>
    <w:lvl w:ilvl="0" w:tplc="FFFFFFFF">
      <w:start w:val="1"/>
      <w:numFmt w:val="lowerLetter"/>
      <w:lvlText w:val="%1."/>
      <w:lvlJc w:val="left"/>
      <w:pPr>
        <w:ind w:left="1440" w:hanging="360"/>
      </w:pPr>
      <w:rPr>
        <w:b w:val="0"/>
      </w:rPr>
    </w:lvl>
    <w:lvl w:ilvl="1" w:tplc="0409001B">
      <w:start w:val="1"/>
      <w:numFmt w:val="lowerRoman"/>
      <w:lvlText w:val="%2."/>
      <w:lvlJc w:val="right"/>
      <w:pPr>
        <w:ind w:left="23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DFA4DBB"/>
    <w:multiLevelType w:val="hybridMultilevel"/>
    <w:tmpl w:val="974A933E"/>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3EA631AF"/>
    <w:multiLevelType w:val="hybridMultilevel"/>
    <w:tmpl w:val="8CB6B554"/>
    <w:lvl w:ilvl="0" w:tplc="FFFFFFFF">
      <w:start w:val="1"/>
      <w:numFmt w:val="lowerLetter"/>
      <w:lvlText w:val="%1."/>
      <w:lvlJc w:val="left"/>
      <w:pPr>
        <w:ind w:left="1440" w:hanging="360"/>
      </w:pPr>
      <w:rPr>
        <w:b w:val="0"/>
      </w:rPr>
    </w:lvl>
    <w:lvl w:ilvl="1" w:tplc="0409001B">
      <w:start w:val="1"/>
      <w:numFmt w:val="lowerRoman"/>
      <w:lvlText w:val="%2."/>
      <w:lvlJc w:val="right"/>
      <w:pPr>
        <w:ind w:left="23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09379E5"/>
    <w:multiLevelType w:val="hybridMultilevel"/>
    <w:tmpl w:val="12FA485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421A15DC"/>
    <w:multiLevelType w:val="hybridMultilevel"/>
    <w:tmpl w:val="B35438DE"/>
    <w:lvl w:ilvl="0" w:tplc="D62E54D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4EB2E09"/>
    <w:multiLevelType w:val="hybridMultilevel"/>
    <w:tmpl w:val="8FA4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4F81E44"/>
    <w:multiLevelType w:val="hybridMultilevel"/>
    <w:tmpl w:val="EB5A8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60D1768"/>
    <w:multiLevelType w:val="hybridMultilevel"/>
    <w:tmpl w:val="BE24047C"/>
    <w:lvl w:ilvl="0" w:tplc="FFFFFFFF">
      <w:start w:val="1"/>
      <w:numFmt w:val="lowerLetter"/>
      <w:lvlText w:val="%1."/>
      <w:lvlJc w:val="left"/>
      <w:pPr>
        <w:ind w:left="144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687674A"/>
    <w:multiLevelType w:val="hybridMultilevel"/>
    <w:tmpl w:val="BE24047C"/>
    <w:lvl w:ilvl="0" w:tplc="D62E54D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68E7CF8"/>
    <w:multiLevelType w:val="hybridMultilevel"/>
    <w:tmpl w:val="63DA0F10"/>
    <w:lvl w:ilvl="0" w:tplc="3F782B34">
      <w:start w:val="1"/>
      <w:numFmt w:val="upperRoman"/>
      <w:lvlText w:val="%1."/>
      <w:lvlJc w:val="righ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69461F2"/>
    <w:multiLevelType w:val="hybridMultilevel"/>
    <w:tmpl w:val="D152E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950FBE"/>
    <w:multiLevelType w:val="hybridMultilevel"/>
    <w:tmpl w:val="3080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6F320DE"/>
    <w:multiLevelType w:val="hybridMultilevel"/>
    <w:tmpl w:val="599E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79D150F"/>
    <w:multiLevelType w:val="hybridMultilevel"/>
    <w:tmpl w:val="48A8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79E33D8"/>
    <w:multiLevelType w:val="hybridMultilevel"/>
    <w:tmpl w:val="B402326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0409000F">
      <w:start w:val="1"/>
      <w:numFmt w:val="decimal"/>
      <w:lvlText w:val="%3."/>
      <w:lvlJc w:val="left"/>
      <w:pPr>
        <w:ind w:left="720" w:hanging="36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3" w15:restartNumberingAfterBreak="0">
    <w:nsid w:val="4804767A"/>
    <w:multiLevelType w:val="hybridMultilevel"/>
    <w:tmpl w:val="4C18AF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8C02A09"/>
    <w:multiLevelType w:val="hybridMultilevel"/>
    <w:tmpl w:val="ABC2AE86"/>
    <w:lvl w:ilvl="0" w:tplc="D62E54D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8CD1D5D"/>
    <w:multiLevelType w:val="hybridMultilevel"/>
    <w:tmpl w:val="4EAC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ABF4318"/>
    <w:multiLevelType w:val="multilevel"/>
    <w:tmpl w:val="6D4A07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DAD1991"/>
    <w:multiLevelType w:val="hybridMultilevel"/>
    <w:tmpl w:val="C714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E0B3705"/>
    <w:multiLevelType w:val="hybridMultilevel"/>
    <w:tmpl w:val="BE24047C"/>
    <w:lvl w:ilvl="0" w:tplc="FFFFFFFF">
      <w:start w:val="1"/>
      <w:numFmt w:val="lowerLetter"/>
      <w:lvlText w:val="%1."/>
      <w:lvlJc w:val="left"/>
      <w:pPr>
        <w:ind w:left="144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E0D0EAF"/>
    <w:multiLevelType w:val="hybridMultilevel"/>
    <w:tmpl w:val="B76073BC"/>
    <w:lvl w:ilvl="0" w:tplc="0409000F">
      <w:start w:val="1"/>
      <w:numFmt w:val="decimal"/>
      <w:lvlText w:val="%1."/>
      <w:lvlJc w:val="left"/>
      <w:pPr>
        <w:ind w:left="720" w:hanging="360"/>
      </w:pPr>
      <w:rPr>
        <w:rFonts w:hint="default"/>
      </w:rPr>
    </w:lvl>
    <w:lvl w:ilvl="1" w:tplc="B4DE596E">
      <w:start w:val="1"/>
      <w:numFmt w:val="lowerLetter"/>
      <w:lvlText w:val="%2."/>
      <w:lvlJc w:val="left"/>
      <w:pPr>
        <w:ind w:left="1440" w:hanging="360"/>
      </w:pPr>
      <w:rPr>
        <w:b w:val="0"/>
        <w:bCs/>
      </w:rPr>
    </w:lvl>
    <w:lvl w:ilvl="2" w:tplc="5F06E2E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EDB6D54"/>
    <w:multiLevelType w:val="hybridMultilevel"/>
    <w:tmpl w:val="5C06EE32"/>
    <w:lvl w:ilvl="0" w:tplc="FFFFFFFF">
      <w:start w:val="1"/>
      <w:numFmt w:val="lowerLetter"/>
      <w:lvlText w:val="%1."/>
      <w:lvlJc w:val="left"/>
      <w:pPr>
        <w:ind w:left="1440" w:hanging="360"/>
      </w:pPr>
      <w:rPr>
        <w:b w:val="0"/>
      </w:rPr>
    </w:lvl>
    <w:lvl w:ilvl="1" w:tplc="0409001B">
      <w:start w:val="1"/>
      <w:numFmt w:val="lowerRoman"/>
      <w:lvlText w:val="%2."/>
      <w:lvlJc w:val="right"/>
      <w:pPr>
        <w:ind w:left="23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EE85EB2"/>
    <w:multiLevelType w:val="hybridMultilevel"/>
    <w:tmpl w:val="6B1EC618"/>
    <w:lvl w:ilvl="0" w:tplc="FFFFFFFF">
      <w:start w:val="3"/>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07D0556"/>
    <w:multiLevelType w:val="hybridMultilevel"/>
    <w:tmpl w:val="BE24047C"/>
    <w:lvl w:ilvl="0" w:tplc="D62E54D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0AB7AB5"/>
    <w:multiLevelType w:val="hybridMultilevel"/>
    <w:tmpl w:val="122209B8"/>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4" w15:restartNumberingAfterBreak="0">
    <w:nsid w:val="519913B1"/>
    <w:multiLevelType w:val="hybridMultilevel"/>
    <w:tmpl w:val="37D6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3B46C79"/>
    <w:multiLevelType w:val="hybridMultilevel"/>
    <w:tmpl w:val="4B0A3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41561FB"/>
    <w:multiLevelType w:val="hybridMultilevel"/>
    <w:tmpl w:val="5B3470B8"/>
    <w:lvl w:ilvl="0" w:tplc="BF7805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56D116B"/>
    <w:multiLevelType w:val="hybridMultilevel"/>
    <w:tmpl w:val="CBA05C7E"/>
    <w:lvl w:ilvl="0" w:tplc="F154B3E4">
      <w:start w:val="6"/>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5BE1D35"/>
    <w:multiLevelType w:val="hybridMultilevel"/>
    <w:tmpl w:val="11C646D6"/>
    <w:lvl w:ilvl="0" w:tplc="FFFFFFFF">
      <w:start w:val="1"/>
      <w:numFmt w:val="lowerLetter"/>
      <w:lvlText w:val="%1."/>
      <w:lvlJc w:val="left"/>
      <w:pPr>
        <w:ind w:left="1440" w:hanging="360"/>
      </w:pPr>
    </w:lvl>
    <w:lvl w:ilvl="1" w:tplc="0409001B">
      <w:start w:val="1"/>
      <w:numFmt w:val="lowerRoman"/>
      <w:lvlText w:val="%2."/>
      <w:lvlJc w:val="right"/>
      <w:pPr>
        <w:ind w:left="234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9" w15:restartNumberingAfterBreak="0">
    <w:nsid w:val="569968FE"/>
    <w:multiLevelType w:val="hybridMultilevel"/>
    <w:tmpl w:val="6B1EC618"/>
    <w:lvl w:ilvl="0" w:tplc="51E66568">
      <w:start w:val="3"/>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6A54109"/>
    <w:multiLevelType w:val="hybridMultilevel"/>
    <w:tmpl w:val="BE24047C"/>
    <w:lvl w:ilvl="0" w:tplc="FFFFFFFF">
      <w:start w:val="1"/>
      <w:numFmt w:val="lowerLetter"/>
      <w:lvlText w:val="%1."/>
      <w:lvlJc w:val="left"/>
      <w:pPr>
        <w:ind w:left="144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84B71A2"/>
    <w:multiLevelType w:val="hybridMultilevel"/>
    <w:tmpl w:val="32986946"/>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2" w15:restartNumberingAfterBreak="0">
    <w:nsid w:val="58A334F8"/>
    <w:multiLevelType w:val="hybridMultilevel"/>
    <w:tmpl w:val="5CD2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9572274"/>
    <w:multiLevelType w:val="hybridMultilevel"/>
    <w:tmpl w:val="DF3A77A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4" w15:restartNumberingAfterBreak="0">
    <w:nsid w:val="59653B86"/>
    <w:multiLevelType w:val="hybridMultilevel"/>
    <w:tmpl w:val="95320EA8"/>
    <w:lvl w:ilvl="0" w:tplc="60565590">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99A3CD7"/>
    <w:multiLevelType w:val="hybridMultilevel"/>
    <w:tmpl w:val="93605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9B424F1"/>
    <w:multiLevelType w:val="hybridMultilevel"/>
    <w:tmpl w:val="ED40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A134868"/>
    <w:multiLevelType w:val="hybridMultilevel"/>
    <w:tmpl w:val="D2F2434A"/>
    <w:lvl w:ilvl="0" w:tplc="FFFFFFFF">
      <w:start w:val="1"/>
      <w:numFmt w:val="lowerLetter"/>
      <w:lvlText w:val="%1."/>
      <w:lvlJc w:val="left"/>
      <w:pPr>
        <w:ind w:left="1440" w:hanging="360"/>
      </w:pPr>
    </w:lvl>
    <w:lvl w:ilvl="1" w:tplc="FFFFFFFF">
      <w:start w:val="1"/>
      <w:numFmt w:val="lowerRoman"/>
      <w:lvlText w:val="%2."/>
      <w:lvlJc w:val="right"/>
      <w:pPr>
        <w:ind w:left="2340" w:hanging="360"/>
      </w:pPr>
    </w:lvl>
    <w:lvl w:ilvl="2" w:tplc="0409000F">
      <w:start w:val="1"/>
      <w:numFmt w:val="decimal"/>
      <w:lvlText w:val="%3."/>
      <w:lvlJc w:val="left"/>
      <w:pPr>
        <w:ind w:left="720" w:hanging="36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8" w15:restartNumberingAfterBreak="0">
    <w:nsid w:val="5A1760BB"/>
    <w:multiLevelType w:val="hybridMultilevel"/>
    <w:tmpl w:val="520C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A926192"/>
    <w:multiLevelType w:val="hybridMultilevel"/>
    <w:tmpl w:val="C26C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C0E5DAD"/>
    <w:multiLevelType w:val="hybridMultilevel"/>
    <w:tmpl w:val="D514F82E"/>
    <w:lvl w:ilvl="0" w:tplc="02E678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C7A0993"/>
    <w:multiLevelType w:val="hybridMultilevel"/>
    <w:tmpl w:val="FA46D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CBD79FA"/>
    <w:multiLevelType w:val="hybridMultilevel"/>
    <w:tmpl w:val="B4F22B02"/>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3" w15:restartNumberingAfterBreak="0">
    <w:nsid w:val="5E650BA7"/>
    <w:multiLevelType w:val="hybridMultilevel"/>
    <w:tmpl w:val="C95421D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0409000F">
      <w:start w:val="1"/>
      <w:numFmt w:val="decimal"/>
      <w:lvlText w:val="%3."/>
      <w:lvlJc w:val="left"/>
      <w:pPr>
        <w:ind w:left="720" w:hanging="36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4" w15:restartNumberingAfterBreak="0">
    <w:nsid w:val="5EE77CD9"/>
    <w:multiLevelType w:val="hybridMultilevel"/>
    <w:tmpl w:val="AA980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EEC3FA6"/>
    <w:multiLevelType w:val="hybridMultilevel"/>
    <w:tmpl w:val="3F203A40"/>
    <w:lvl w:ilvl="0" w:tplc="FFFFFFFF">
      <w:start w:val="1"/>
      <w:numFmt w:val="lowerLetter"/>
      <w:lvlText w:val="%1."/>
      <w:lvlJc w:val="left"/>
      <w:pPr>
        <w:ind w:left="1440" w:hanging="360"/>
      </w:pPr>
      <w:rPr>
        <w:b w:val="0"/>
      </w:rPr>
    </w:lvl>
    <w:lvl w:ilvl="1" w:tplc="0409001B">
      <w:start w:val="1"/>
      <w:numFmt w:val="lowerRoman"/>
      <w:lvlText w:val="%2."/>
      <w:lvlJc w:val="right"/>
      <w:pPr>
        <w:ind w:left="23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5F255725"/>
    <w:multiLevelType w:val="hybridMultilevel"/>
    <w:tmpl w:val="B4F22B02"/>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7" w15:restartNumberingAfterBreak="0">
    <w:nsid w:val="5F296BB5"/>
    <w:multiLevelType w:val="hybridMultilevel"/>
    <w:tmpl w:val="6B506D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8" w15:restartNumberingAfterBreak="0">
    <w:nsid w:val="600018BF"/>
    <w:multiLevelType w:val="hybridMultilevel"/>
    <w:tmpl w:val="FDF8A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0822A12"/>
    <w:multiLevelType w:val="hybridMultilevel"/>
    <w:tmpl w:val="7A06CC0C"/>
    <w:lvl w:ilvl="0" w:tplc="E686649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0EC07E3"/>
    <w:multiLevelType w:val="hybridMultilevel"/>
    <w:tmpl w:val="A072AFD8"/>
    <w:lvl w:ilvl="0" w:tplc="FFFFFFFF">
      <w:start w:val="1"/>
      <w:numFmt w:val="lowerLetter"/>
      <w:lvlText w:val="%1."/>
      <w:lvlJc w:val="left"/>
      <w:pPr>
        <w:ind w:left="1440" w:hanging="360"/>
      </w:pPr>
    </w:lvl>
    <w:lvl w:ilvl="1" w:tplc="FFFFFFFF">
      <w:start w:val="1"/>
      <w:numFmt w:val="lowerRoman"/>
      <w:lvlText w:val="%2."/>
      <w:lvlJc w:val="right"/>
      <w:pPr>
        <w:ind w:left="3060" w:hanging="360"/>
      </w:pPr>
    </w:lvl>
    <w:lvl w:ilvl="2" w:tplc="FFFFFFFF">
      <w:start w:val="1"/>
      <w:numFmt w:val="decimal"/>
      <w:lvlText w:val="%3."/>
      <w:lvlJc w:val="left"/>
      <w:pPr>
        <w:ind w:left="3600" w:hanging="360"/>
      </w:pPr>
    </w:lvl>
    <w:lvl w:ilvl="3" w:tplc="04090015">
      <w:start w:val="1"/>
      <w:numFmt w:val="upp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1" w15:restartNumberingAfterBreak="0">
    <w:nsid w:val="610E1F6A"/>
    <w:multiLevelType w:val="hybridMultilevel"/>
    <w:tmpl w:val="D98C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22271BF"/>
    <w:multiLevelType w:val="hybridMultilevel"/>
    <w:tmpl w:val="F2F42B7C"/>
    <w:lvl w:ilvl="0" w:tplc="FFFFFFFF">
      <w:start w:val="1"/>
      <w:numFmt w:val="lowerLetter"/>
      <w:lvlText w:val="%1."/>
      <w:lvlJc w:val="left"/>
      <w:pPr>
        <w:ind w:left="1440" w:hanging="360"/>
      </w:pPr>
      <w:rPr>
        <w:b w:val="0"/>
      </w:rPr>
    </w:lvl>
    <w:lvl w:ilvl="1" w:tplc="0409001B">
      <w:start w:val="1"/>
      <w:numFmt w:val="lowerRoman"/>
      <w:lvlText w:val="%2."/>
      <w:lvlJc w:val="right"/>
      <w:pPr>
        <w:ind w:left="23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2396186"/>
    <w:multiLevelType w:val="hybridMultilevel"/>
    <w:tmpl w:val="B14EA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2872D7B"/>
    <w:multiLevelType w:val="hybridMultilevel"/>
    <w:tmpl w:val="BE24047C"/>
    <w:lvl w:ilvl="0" w:tplc="FFFFFFFF">
      <w:start w:val="1"/>
      <w:numFmt w:val="lowerLetter"/>
      <w:lvlText w:val="%1."/>
      <w:lvlJc w:val="left"/>
      <w:pPr>
        <w:ind w:left="144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3562CAF"/>
    <w:multiLevelType w:val="hybridMultilevel"/>
    <w:tmpl w:val="95320EA8"/>
    <w:lvl w:ilvl="0" w:tplc="60565590">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3AE4F60"/>
    <w:multiLevelType w:val="hybridMultilevel"/>
    <w:tmpl w:val="25E296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4B25818"/>
    <w:multiLevelType w:val="hybridMultilevel"/>
    <w:tmpl w:val="CEB6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4CC2A7B"/>
    <w:multiLevelType w:val="hybridMultilevel"/>
    <w:tmpl w:val="FAEC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50842F0"/>
    <w:multiLevelType w:val="hybridMultilevel"/>
    <w:tmpl w:val="7028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5B35C1E"/>
    <w:multiLevelType w:val="hybridMultilevel"/>
    <w:tmpl w:val="4FE8EB24"/>
    <w:lvl w:ilvl="0" w:tplc="239A456E">
      <w:start w:val="4"/>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5EF486F"/>
    <w:multiLevelType w:val="hybridMultilevel"/>
    <w:tmpl w:val="2A8A46B0"/>
    <w:lvl w:ilvl="0" w:tplc="FFFFFFFF">
      <w:start w:val="1"/>
      <w:numFmt w:val="lowerLetter"/>
      <w:lvlText w:val="%1."/>
      <w:lvlJc w:val="left"/>
      <w:pPr>
        <w:ind w:left="144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2" w15:restartNumberingAfterBreak="0">
    <w:nsid w:val="676D0CF7"/>
    <w:multiLevelType w:val="hybridMultilevel"/>
    <w:tmpl w:val="15022AB4"/>
    <w:lvl w:ilvl="0" w:tplc="A97A2754">
      <w:start w:val="2"/>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7A1566F"/>
    <w:multiLevelType w:val="hybridMultilevel"/>
    <w:tmpl w:val="B4F22B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68E32ADD"/>
    <w:multiLevelType w:val="hybridMultilevel"/>
    <w:tmpl w:val="BE24047C"/>
    <w:lvl w:ilvl="0" w:tplc="FFFFFFFF">
      <w:start w:val="1"/>
      <w:numFmt w:val="lowerLetter"/>
      <w:lvlText w:val="%1."/>
      <w:lvlJc w:val="left"/>
      <w:pPr>
        <w:ind w:left="144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68EB5164"/>
    <w:multiLevelType w:val="hybridMultilevel"/>
    <w:tmpl w:val="53F4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91D3D34"/>
    <w:multiLevelType w:val="hybridMultilevel"/>
    <w:tmpl w:val="25E296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93D069E"/>
    <w:multiLevelType w:val="hybridMultilevel"/>
    <w:tmpl w:val="C550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9942AA7"/>
    <w:multiLevelType w:val="hybridMultilevel"/>
    <w:tmpl w:val="3298694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9" w15:restartNumberingAfterBreak="0">
    <w:nsid w:val="6A465BE8"/>
    <w:multiLevelType w:val="hybridMultilevel"/>
    <w:tmpl w:val="5AACE0EE"/>
    <w:lvl w:ilvl="0" w:tplc="12245676">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0" w15:restartNumberingAfterBreak="0">
    <w:nsid w:val="6B334B11"/>
    <w:multiLevelType w:val="hybridMultilevel"/>
    <w:tmpl w:val="1F649318"/>
    <w:lvl w:ilvl="0" w:tplc="E804865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CFC601F"/>
    <w:multiLevelType w:val="hybridMultilevel"/>
    <w:tmpl w:val="841A687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0409000F">
      <w:start w:val="1"/>
      <w:numFmt w:val="decimal"/>
      <w:lvlText w:val="%3."/>
      <w:lvlJc w:val="left"/>
      <w:pPr>
        <w:ind w:left="720" w:hanging="36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2" w15:restartNumberingAfterBreak="0">
    <w:nsid w:val="6FD046F4"/>
    <w:multiLevelType w:val="hybridMultilevel"/>
    <w:tmpl w:val="BE24047C"/>
    <w:lvl w:ilvl="0" w:tplc="FFFFFFFF">
      <w:start w:val="1"/>
      <w:numFmt w:val="lowerLetter"/>
      <w:lvlText w:val="%1."/>
      <w:lvlJc w:val="left"/>
      <w:pPr>
        <w:ind w:left="144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00A7ACD"/>
    <w:multiLevelType w:val="hybridMultilevel"/>
    <w:tmpl w:val="B4F22B0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706E727F"/>
    <w:multiLevelType w:val="hybridMultilevel"/>
    <w:tmpl w:val="931C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0C2119B"/>
    <w:multiLevelType w:val="hybridMultilevel"/>
    <w:tmpl w:val="4E522B4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712600FB"/>
    <w:multiLevelType w:val="hybridMultilevel"/>
    <w:tmpl w:val="B4F22B0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719E13BD"/>
    <w:multiLevelType w:val="hybridMultilevel"/>
    <w:tmpl w:val="1F7E8F56"/>
    <w:lvl w:ilvl="0" w:tplc="FFFFFFFF">
      <w:start w:val="1"/>
      <w:numFmt w:val="lowerLetter"/>
      <w:lvlText w:val="%1."/>
      <w:lvlJc w:val="left"/>
      <w:pPr>
        <w:ind w:left="1440" w:hanging="360"/>
      </w:pPr>
      <w:rPr>
        <w:b w:val="0"/>
      </w:rPr>
    </w:lvl>
    <w:lvl w:ilvl="1" w:tplc="0409001B">
      <w:start w:val="1"/>
      <w:numFmt w:val="lowerRoman"/>
      <w:lvlText w:val="%2."/>
      <w:lvlJc w:val="right"/>
      <w:pPr>
        <w:ind w:left="23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20F72FE"/>
    <w:multiLevelType w:val="hybridMultilevel"/>
    <w:tmpl w:val="D95E7662"/>
    <w:lvl w:ilvl="0" w:tplc="D40A3B0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2114B6A"/>
    <w:multiLevelType w:val="hybridMultilevel"/>
    <w:tmpl w:val="A8BCBC10"/>
    <w:lvl w:ilvl="0" w:tplc="975E81C6">
      <w:start w:val="1"/>
      <w:numFmt w:val="lowerLetter"/>
      <w:lvlText w:val="%1."/>
      <w:lvlJc w:val="left"/>
      <w:pPr>
        <w:ind w:left="144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2613B73"/>
    <w:multiLevelType w:val="hybridMultilevel"/>
    <w:tmpl w:val="98BA9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2A5794D"/>
    <w:multiLevelType w:val="hybridMultilevel"/>
    <w:tmpl w:val="25E296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32535B0"/>
    <w:multiLevelType w:val="hybridMultilevel"/>
    <w:tmpl w:val="B35438DE"/>
    <w:lvl w:ilvl="0" w:tplc="FFFFFFFF">
      <w:start w:val="1"/>
      <w:numFmt w:val="lowerLetter"/>
      <w:lvlText w:val="%1."/>
      <w:lvlJc w:val="left"/>
      <w:pPr>
        <w:ind w:left="144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38633BD"/>
    <w:multiLevelType w:val="hybridMultilevel"/>
    <w:tmpl w:val="3C34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43613ED"/>
    <w:multiLevelType w:val="hybridMultilevel"/>
    <w:tmpl w:val="340A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59A6AA3"/>
    <w:multiLevelType w:val="hybridMultilevel"/>
    <w:tmpl w:val="D9181BE4"/>
    <w:lvl w:ilvl="0" w:tplc="3A702906">
      <w:start w:val="1"/>
      <w:numFmt w:val="upperRoman"/>
      <w:lvlText w:val="%1."/>
      <w:lvlJc w:val="left"/>
      <w:pPr>
        <w:ind w:left="1080" w:hanging="720"/>
      </w:pPr>
      <w:rPr>
        <w:rFonts w:hint="default"/>
      </w:rPr>
    </w:lvl>
    <w:lvl w:ilvl="1" w:tplc="D62E54D0">
      <w:start w:val="1"/>
      <w:numFmt w:val="lowerLetter"/>
      <w:lvlText w:val="%2."/>
      <w:lvlJc w:val="left"/>
      <w:pPr>
        <w:ind w:left="1440" w:hanging="360"/>
      </w:pPr>
      <w:rPr>
        <w:b w:val="0"/>
      </w:rPr>
    </w:lvl>
    <w:lvl w:ilvl="2" w:tplc="60565590">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60A1F58"/>
    <w:multiLevelType w:val="hybridMultilevel"/>
    <w:tmpl w:val="BE24047C"/>
    <w:lvl w:ilvl="0" w:tplc="FFFFFFFF">
      <w:start w:val="1"/>
      <w:numFmt w:val="lowerLetter"/>
      <w:lvlText w:val="%1."/>
      <w:lvlJc w:val="left"/>
      <w:pPr>
        <w:ind w:left="144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6BA00DC"/>
    <w:multiLevelType w:val="hybridMultilevel"/>
    <w:tmpl w:val="6FFE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7014453"/>
    <w:multiLevelType w:val="hybridMultilevel"/>
    <w:tmpl w:val="25E296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8093FFB"/>
    <w:multiLevelType w:val="hybridMultilevel"/>
    <w:tmpl w:val="25E296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85652EF"/>
    <w:multiLevelType w:val="hybridMultilevel"/>
    <w:tmpl w:val="DDD8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9921F66"/>
    <w:multiLevelType w:val="hybridMultilevel"/>
    <w:tmpl w:val="6302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A293AFE"/>
    <w:multiLevelType w:val="hybridMultilevel"/>
    <w:tmpl w:val="4B14BD5E"/>
    <w:lvl w:ilvl="0" w:tplc="FFFFFFFF">
      <w:start w:val="1"/>
      <w:numFmt w:val="lowerLetter"/>
      <w:lvlText w:val="%1."/>
      <w:lvlJc w:val="left"/>
      <w:pPr>
        <w:ind w:left="1440" w:hanging="360"/>
      </w:pPr>
      <w:rPr>
        <w:b w:val="0"/>
      </w:rPr>
    </w:lvl>
    <w:lvl w:ilvl="1" w:tplc="0409001B">
      <w:start w:val="1"/>
      <w:numFmt w:val="lowerRoman"/>
      <w:lvlText w:val="%2."/>
      <w:lvlJc w:val="right"/>
      <w:pPr>
        <w:ind w:left="23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7AAC6026"/>
    <w:multiLevelType w:val="hybridMultilevel"/>
    <w:tmpl w:val="7DC2F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AED353B"/>
    <w:multiLevelType w:val="hybridMultilevel"/>
    <w:tmpl w:val="BCE8AAB0"/>
    <w:lvl w:ilvl="0" w:tplc="E804865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B29215D"/>
    <w:multiLevelType w:val="hybridMultilevel"/>
    <w:tmpl w:val="6872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BB2200A"/>
    <w:multiLevelType w:val="hybridMultilevel"/>
    <w:tmpl w:val="DA7EBB98"/>
    <w:lvl w:ilvl="0" w:tplc="FFFFFFFF">
      <w:start w:val="1"/>
      <w:numFmt w:val="lowerLetter"/>
      <w:lvlText w:val="%1."/>
      <w:lvlJc w:val="left"/>
      <w:pPr>
        <w:ind w:left="144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8475519">
    <w:abstractNumId w:val="109"/>
  </w:num>
  <w:num w:numId="2" w16cid:durableId="1290355937">
    <w:abstractNumId w:val="63"/>
  </w:num>
  <w:num w:numId="3" w16cid:durableId="1844857189">
    <w:abstractNumId w:val="16"/>
  </w:num>
  <w:num w:numId="4" w16cid:durableId="993417197">
    <w:abstractNumId w:val="87"/>
  </w:num>
  <w:num w:numId="5" w16cid:durableId="657615088">
    <w:abstractNumId w:val="174"/>
  </w:num>
  <w:num w:numId="6" w16cid:durableId="465322156">
    <w:abstractNumId w:val="82"/>
  </w:num>
  <w:num w:numId="7" w16cid:durableId="2051566386">
    <w:abstractNumId w:val="131"/>
  </w:num>
  <w:num w:numId="8" w16cid:durableId="76442579">
    <w:abstractNumId w:val="73"/>
  </w:num>
  <w:num w:numId="9" w16cid:durableId="1534347192">
    <w:abstractNumId w:val="129"/>
  </w:num>
  <w:num w:numId="10" w16cid:durableId="388723051">
    <w:abstractNumId w:val="122"/>
  </w:num>
  <w:num w:numId="11" w16cid:durableId="2043360435">
    <w:abstractNumId w:val="147"/>
  </w:num>
  <w:num w:numId="12" w16cid:durableId="1616326791">
    <w:abstractNumId w:val="29"/>
  </w:num>
  <w:num w:numId="13" w16cid:durableId="250168053">
    <w:abstractNumId w:val="175"/>
  </w:num>
  <w:num w:numId="14" w16cid:durableId="57168591">
    <w:abstractNumId w:val="106"/>
  </w:num>
  <w:num w:numId="15" w16cid:durableId="1122654649">
    <w:abstractNumId w:val="13"/>
  </w:num>
  <w:num w:numId="16" w16cid:durableId="1820071612">
    <w:abstractNumId w:val="70"/>
  </w:num>
  <w:num w:numId="17" w16cid:durableId="121459230">
    <w:abstractNumId w:val="39"/>
  </w:num>
  <w:num w:numId="18" w16cid:durableId="518204077">
    <w:abstractNumId w:val="166"/>
  </w:num>
  <w:num w:numId="19" w16cid:durableId="1431119091">
    <w:abstractNumId w:val="43"/>
  </w:num>
  <w:num w:numId="20" w16cid:durableId="1275482654">
    <w:abstractNumId w:val="153"/>
  </w:num>
  <w:num w:numId="21" w16cid:durableId="479004225">
    <w:abstractNumId w:val="76"/>
  </w:num>
  <w:num w:numId="22" w16cid:durableId="1120339886">
    <w:abstractNumId w:val="77"/>
  </w:num>
  <w:num w:numId="23" w16cid:durableId="245501200">
    <w:abstractNumId w:val="158"/>
  </w:num>
  <w:num w:numId="24" w16cid:durableId="181087948">
    <w:abstractNumId w:val="23"/>
  </w:num>
  <w:num w:numId="25" w16cid:durableId="1643196807">
    <w:abstractNumId w:val="28"/>
  </w:num>
  <w:num w:numId="26" w16cid:durableId="1506554743">
    <w:abstractNumId w:val="96"/>
  </w:num>
  <w:num w:numId="27" w16cid:durableId="1382509935">
    <w:abstractNumId w:val="68"/>
  </w:num>
  <w:num w:numId="28" w16cid:durableId="301691141">
    <w:abstractNumId w:val="19"/>
  </w:num>
  <w:num w:numId="29" w16cid:durableId="70275620">
    <w:abstractNumId w:val="124"/>
  </w:num>
  <w:num w:numId="30" w16cid:durableId="1802185226">
    <w:abstractNumId w:val="112"/>
  </w:num>
  <w:num w:numId="31" w16cid:durableId="957102502">
    <w:abstractNumId w:val="145"/>
  </w:num>
  <w:num w:numId="32" w16cid:durableId="1954022197">
    <w:abstractNumId w:val="0"/>
  </w:num>
  <w:num w:numId="33" w16cid:durableId="8802503">
    <w:abstractNumId w:val="143"/>
  </w:num>
  <w:num w:numId="34" w16cid:durableId="1682394719">
    <w:abstractNumId w:val="134"/>
  </w:num>
  <w:num w:numId="35" w16cid:durableId="1940914248">
    <w:abstractNumId w:val="148"/>
  </w:num>
  <w:num w:numId="36" w16cid:durableId="1291397092">
    <w:abstractNumId w:val="51"/>
  </w:num>
  <w:num w:numId="37" w16cid:durableId="375006302">
    <w:abstractNumId w:val="38"/>
  </w:num>
  <w:num w:numId="38" w16cid:durableId="20477426">
    <w:abstractNumId w:val="138"/>
  </w:num>
  <w:num w:numId="39" w16cid:durableId="17660614">
    <w:abstractNumId w:val="97"/>
  </w:num>
  <w:num w:numId="40" w16cid:durableId="1244728229">
    <w:abstractNumId w:val="25"/>
  </w:num>
  <w:num w:numId="41" w16cid:durableId="1882547132">
    <w:abstractNumId w:val="17"/>
  </w:num>
  <w:num w:numId="42" w16cid:durableId="2109691082">
    <w:abstractNumId w:val="71"/>
  </w:num>
  <w:num w:numId="43" w16cid:durableId="1554198448">
    <w:abstractNumId w:val="99"/>
  </w:num>
  <w:num w:numId="44" w16cid:durableId="1341277571">
    <w:abstractNumId w:val="59"/>
  </w:num>
  <w:num w:numId="45" w16cid:durableId="1955823348">
    <w:abstractNumId w:val="32"/>
  </w:num>
  <w:num w:numId="46" w16cid:durableId="424301837">
    <w:abstractNumId w:val="163"/>
  </w:num>
  <w:num w:numId="47" w16cid:durableId="1621376571">
    <w:abstractNumId w:val="56"/>
  </w:num>
  <w:num w:numId="48" w16cid:durableId="1053041066">
    <w:abstractNumId w:val="83"/>
  </w:num>
  <w:num w:numId="49" w16cid:durableId="410201511">
    <w:abstractNumId w:val="125"/>
  </w:num>
  <w:num w:numId="50" w16cid:durableId="1744376468">
    <w:abstractNumId w:val="139"/>
  </w:num>
  <w:num w:numId="51" w16cid:durableId="1804230583">
    <w:abstractNumId w:val="103"/>
  </w:num>
  <w:num w:numId="52" w16cid:durableId="1994942793">
    <w:abstractNumId w:val="169"/>
  </w:num>
  <w:num w:numId="53" w16cid:durableId="585773394">
    <w:abstractNumId w:val="116"/>
  </w:num>
  <w:num w:numId="54" w16cid:durableId="2028671419">
    <w:abstractNumId w:val="165"/>
  </w:num>
  <w:num w:numId="55" w16cid:durableId="1806043782">
    <w:abstractNumId w:val="119"/>
  </w:num>
  <w:num w:numId="56" w16cid:durableId="520319726">
    <w:abstractNumId w:val="49"/>
  </w:num>
  <w:num w:numId="57" w16cid:durableId="584147533">
    <w:abstractNumId w:val="24"/>
  </w:num>
  <w:num w:numId="58" w16cid:durableId="385372528">
    <w:abstractNumId w:val="91"/>
  </w:num>
  <w:num w:numId="59" w16cid:durableId="1844666776">
    <w:abstractNumId w:val="117"/>
  </w:num>
  <w:num w:numId="60" w16cid:durableId="1706518904">
    <w:abstractNumId w:val="136"/>
  </w:num>
  <w:num w:numId="61" w16cid:durableId="1445728447">
    <w:abstractNumId w:val="3"/>
  </w:num>
  <w:num w:numId="62" w16cid:durableId="472596765">
    <w:abstractNumId w:val="69"/>
  </w:num>
  <w:num w:numId="63" w16cid:durableId="428039463">
    <w:abstractNumId w:val="152"/>
  </w:num>
  <w:num w:numId="64" w16cid:durableId="1702395689">
    <w:abstractNumId w:val="42"/>
  </w:num>
  <w:num w:numId="65" w16cid:durableId="359210760">
    <w:abstractNumId w:val="111"/>
  </w:num>
  <w:num w:numId="66" w16cid:durableId="289093864">
    <w:abstractNumId w:val="37"/>
  </w:num>
  <w:num w:numId="67" w16cid:durableId="2129931332">
    <w:abstractNumId w:val="150"/>
  </w:num>
  <w:num w:numId="68" w16cid:durableId="23212643">
    <w:abstractNumId w:val="84"/>
  </w:num>
  <w:num w:numId="69" w16cid:durableId="678628285">
    <w:abstractNumId w:val="64"/>
  </w:num>
  <w:num w:numId="70" w16cid:durableId="848984813">
    <w:abstractNumId w:val="65"/>
  </w:num>
  <w:num w:numId="71" w16cid:durableId="1833980457">
    <w:abstractNumId w:val="72"/>
  </w:num>
  <w:num w:numId="72" w16cid:durableId="1403914380">
    <w:abstractNumId w:val="171"/>
  </w:num>
  <w:num w:numId="73" w16cid:durableId="1451781058">
    <w:abstractNumId w:val="104"/>
  </w:num>
  <w:num w:numId="74" w16cid:durableId="127018978">
    <w:abstractNumId w:val="108"/>
  </w:num>
  <w:num w:numId="75" w16cid:durableId="799154791">
    <w:abstractNumId w:val="95"/>
  </w:num>
  <w:num w:numId="76" w16cid:durableId="23216930">
    <w:abstractNumId w:val="57"/>
  </w:num>
  <w:num w:numId="77" w16cid:durableId="1743137031">
    <w:abstractNumId w:val="46"/>
  </w:num>
  <w:num w:numId="78" w16cid:durableId="1348829111">
    <w:abstractNumId w:val="8"/>
  </w:num>
  <w:num w:numId="79" w16cid:durableId="1551380635">
    <w:abstractNumId w:val="146"/>
  </w:num>
  <w:num w:numId="80" w16cid:durableId="1887140399">
    <w:abstractNumId w:val="92"/>
  </w:num>
  <w:num w:numId="81" w16cid:durableId="1920820862">
    <w:abstractNumId w:val="34"/>
  </w:num>
  <w:num w:numId="82" w16cid:durableId="1991203318">
    <w:abstractNumId w:val="26"/>
  </w:num>
  <w:num w:numId="83" w16cid:durableId="594825929">
    <w:abstractNumId w:val="154"/>
  </w:num>
  <w:num w:numId="84" w16cid:durableId="1658530890">
    <w:abstractNumId w:val="12"/>
  </w:num>
  <w:num w:numId="85" w16cid:durableId="1161234393">
    <w:abstractNumId w:val="162"/>
  </w:num>
  <w:num w:numId="86" w16cid:durableId="1822110880">
    <w:abstractNumId w:val="47"/>
  </w:num>
  <w:num w:numId="87" w16cid:durableId="284119811">
    <w:abstractNumId w:val="54"/>
  </w:num>
  <w:num w:numId="88" w16cid:durableId="1075393707">
    <w:abstractNumId w:val="132"/>
  </w:num>
  <w:num w:numId="89" w16cid:durableId="932323182">
    <w:abstractNumId w:val="113"/>
  </w:num>
  <w:num w:numId="90" w16cid:durableId="1640988481">
    <w:abstractNumId w:val="36"/>
  </w:num>
  <w:num w:numId="91" w16cid:durableId="2008362471">
    <w:abstractNumId w:val="2"/>
  </w:num>
  <w:num w:numId="92" w16cid:durableId="1247420379">
    <w:abstractNumId w:val="9"/>
  </w:num>
  <w:num w:numId="93" w16cid:durableId="612052138">
    <w:abstractNumId w:val="15"/>
  </w:num>
  <w:num w:numId="94" w16cid:durableId="1008210594">
    <w:abstractNumId w:val="118"/>
  </w:num>
  <w:num w:numId="95" w16cid:durableId="2089615598">
    <w:abstractNumId w:val="127"/>
  </w:num>
  <w:num w:numId="96" w16cid:durableId="972297304">
    <w:abstractNumId w:val="33"/>
  </w:num>
  <w:num w:numId="97" w16cid:durableId="613945490">
    <w:abstractNumId w:val="102"/>
  </w:num>
  <w:num w:numId="98" w16cid:durableId="1257446960">
    <w:abstractNumId w:val="161"/>
  </w:num>
  <w:num w:numId="99" w16cid:durableId="1171259607">
    <w:abstractNumId w:val="133"/>
  </w:num>
  <w:num w:numId="100" w16cid:durableId="455953886">
    <w:abstractNumId w:val="121"/>
  </w:num>
  <w:num w:numId="101" w16cid:durableId="524825613">
    <w:abstractNumId w:val="151"/>
  </w:num>
  <w:num w:numId="102" w16cid:durableId="1296179645">
    <w:abstractNumId w:val="86"/>
  </w:num>
  <w:num w:numId="103" w16cid:durableId="1360815261">
    <w:abstractNumId w:val="20"/>
  </w:num>
  <w:num w:numId="104" w16cid:durableId="788861190">
    <w:abstractNumId w:val="21"/>
  </w:num>
  <w:num w:numId="105" w16cid:durableId="1297178025">
    <w:abstractNumId w:val="140"/>
  </w:num>
  <w:num w:numId="106" w16cid:durableId="257569660">
    <w:abstractNumId w:val="62"/>
  </w:num>
  <w:num w:numId="107" w16cid:durableId="224923369">
    <w:abstractNumId w:val="5"/>
  </w:num>
  <w:num w:numId="108" w16cid:durableId="590436473">
    <w:abstractNumId w:val="35"/>
  </w:num>
  <w:num w:numId="109" w16cid:durableId="3823983">
    <w:abstractNumId w:val="1"/>
  </w:num>
  <w:num w:numId="110" w16cid:durableId="1871644109">
    <w:abstractNumId w:val="178"/>
  </w:num>
  <w:num w:numId="111" w16cid:durableId="1748574108">
    <w:abstractNumId w:val="60"/>
  </w:num>
  <w:num w:numId="112" w16cid:durableId="721755066">
    <w:abstractNumId w:val="176"/>
  </w:num>
  <w:num w:numId="113" w16cid:durableId="680863245">
    <w:abstractNumId w:val="6"/>
  </w:num>
  <w:num w:numId="114" w16cid:durableId="211112828">
    <w:abstractNumId w:val="142"/>
  </w:num>
  <w:num w:numId="115" w16cid:durableId="1780369041">
    <w:abstractNumId w:val="78"/>
  </w:num>
  <w:num w:numId="116" w16cid:durableId="1746341301">
    <w:abstractNumId w:val="81"/>
  </w:num>
  <w:num w:numId="117" w16cid:durableId="2095010048">
    <w:abstractNumId w:val="40"/>
  </w:num>
  <w:num w:numId="118" w16cid:durableId="1852527418">
    <w:abstractNumId w:val="61"/>
  </w:num>
  <w:num w:numId="119" w16cid:durableId="646932792">
    <w:abstractNumId w:val="123"/>
  </w:num>
  <w:num w:numId="120" w16cid:durableId="576018263">
    <w:abstractNumId w:val="48"/>
  </w:num>
  <w:num w:numId="121" w16cid:durableId="54354637">
    <w:abstractNumId w:val="110"/>
  </w:num>
  <w:num w:numId="122" w16cid:durableId="860242168">
    <w:abstractNumId w:val="156"/>
  </w:num>
  <w:num w:numId="123" w16cid:durableId="1669096724">
    <w:abstractNumId w:val="172"/>
  </w:num>
  <w:num w:numId="124" w16cid:durableId="290869873">
    <w:abstractNumId w:val="45"/>
  </w:num>
  <w:num w:numId="125" w16cid:durableId="887959504">
    <w:abstractNumId w:val="55"/>
  </w:num>
  <w:num w:numId="126" w16cid:durableId="643243327">
    <w:abstractNumId w:val="120"/>
  </w:num>
  <w:num w:numId="127" w16cid:durableId="1580671855">
    <w:abstractNumId w:val="10"/>
  </w:num>
  <w:num w:numId="128" w16cid:durableId="1925256800">
    <w:abstractNumId w:val="44"/>
  </w:num>
  <w:num w:numId="129" w16cid:durableId="1356035673">
    <w:abstractNumId w:val="179"/>
  </w:num>
  <w:num w:numId="130" w16cid:durableId="1289240382">
    <w:abstractNumId w:val="14"/>
  </w:num>
  <w:num w:numId="131" w16cid:durableId="1164123062">
    <w:abstractNumId w:val="30"/>
  </w:num>
  <w:num w:numId="132" w16cid:durableId="167251267">
    <w:abstractNumId w:val="144"/>
  </w:num>
  <w:num w:numId="133" w16cid:durableId="104497074">
    <w:abstractNumId w:val="135"/>
  </w:num>
  <w:num w:numId="134" w16cid:durableId="1785802497">
    <w:abstractNumId w:val="186"/>
  </w:num>
  <w:num w:numId="135" w16cid:durableId="1269583111">
    <w:abstractNumId w:val="88"/>
  </w:num>
  <w:num w:numId="136" w16cid:durableId="1780643611">
    <w:abstractNumId w:val="182"/>
  </w:num>
  <w:num w:numId="137" w16cid:durableId="1790662842">
    <w:abstractNumId w:val="167"/>
  </w:num>
  <w:num w:numId="138" w16cid:durableId="1552305562">
    <w:abstractNumId w:val="66"/>
  </w:num>
  <w:num w:numId="139" w16cid:durableId="1762215668">
    <w:abstractNumId w:val="22"/>
  </w:num>
  <w:num w:numId="140" w16cid:durableId="814681643">
    <w:abstractNumId w:val="90"/>
  </w:num>
  <w:num w:numId="141" w16cid:durableId="318003985">
    <w:abstractNumId w:val="168"/>
  </w:num>
  <w:num w:numId="142" w16cid:durableId="1539199521">
    <w:abstractNumId w:val="94"/>
  </w:num>
  <w:num w:numId="143" w16cid:durableId="1966541705">
    <w:abstractNumId w:val="115"/>
  </w:num>
  <w:num w:numId="144" w16cid:durableId="935332437">
    <w:abstractNumId w:val="100"/>
  </w:num>
  <w:num w:numId="145" w16cid:durableId="401146019">
    <w:abstractNumId w:val="74"/>
  </w:num>
  <w:num w:numId="146" w16cid:durableId="1791705557">
    <w:abstractNumId w:val="85"/>
  </w:num>
  <w:num w:numId="147" w16cid:durableId="1539853249">
    <w:abstractNumId w:val="160"/>
  </w:num>
  <w:num w:numId="148" w16cid:durableId="2018648612">
    <w:abstractNumId w:val="184"/>
  </w:num>
  <w:num w:numId="149" w16cid:durableId="1933465080">
    <w:abstractNumId w:val="170"/>
  </w:num>
  <w:num w:numId="150" w16cid:durableId="1493570232">
    <w:abstractNumId w:val="157"/>
  </w:num>
  <w:num w:numId="151" w16cid:durableId="1132331272">
    <w:abstractNumId w:val="75"/>
  </w:num>
  <w:num w:numId="152" w16cid:durableId="127405422">
    <w:abstractNumId w:val="58"/>
  </w:num>
  <w:num w:numId="153" w16cid:durableId="1515997052">
    <w:abstractNumId w:val="128"/>
  </w:num>
  <w:num w:numId="154" w16cid:durableId="639264275">
    <w:abstractNumId w:val="183"/>
  </w:num>
  <w:num w:numId="155" w16cid:durableId="1123234400">
    <w:abstractNumId w:val="31"/>
  </w:num>
  <w:num w:numId="156" w16cid:durableId="1220095818">
    <w:abstractNumId w:val="93"/>
  </w:num>
  <w:num w:numId="157" w16cid:durableId="1790473062">
    <w:abstractNumId w:val="107"/>
  </w:num>
  <w:num w:numId="158" w16cid:durableId="1889761368">
    <w:abstractNumId w:val="126"/>
  </w:num>
  <w:num w:numId="159" w16cid:durableId="312222283">
    <w:abstractNumId w:val="80"/>
  </w:num>
  <w:num w:numId="160" w16cid:durableId="1182820459">
    <w:abstractNumId w:val="98"/>
  </w:num>
  <w:num w:numId="161" w16cid:durableId="751660032">
    <w:abstractNumId w:val="177"/>
  </w:num>
  <w:num w:numId="162" w16cid:durableId="53353325">
    <w:abstractNumId w:val="27"/>
  </w:num>
  <w:num w:numId="163" w16cid:durableId="1363482611">
    <w:abstractNumId w:val="18"/>
  </w:num>
  <w:num w:numId="164" w16cid:durableId="1812942407">
    <w:abstractNumId w:val="79"/>
  </w:num>
  <w:num w:numId="165" w16cid:durableId="954216391">
    <w:abstractNumId w:val="173"/>
  </w:num>
  <w:num w:numId="166" w16cid:durableId="380057650">
    <w:abstractNumId w:val="7"/>
  </w:num>
  <w:num w:numId="167" w16cid:durableId="139614902">
    <w:abstractNumId w:val="101"/>
  </w:num>
  <w:num w:numId="168" w16cid:durableId="1238515813">
    <w:abstractNumId w:val="180"/>
  </w:num>
  <w:num w:numId="169" w16cid:durableId="544875210">
    <w:abstractNumId w:val="149"/>
  </w:num>
  <w:num w:numId="170" w16cid:durableId="1774128763">
    <w:abstractNumId w:val="155"/>
  </w:num>
  <w:num w:numId="171" w16cid:durableId="780800950">
    <w:abstractNumId w:val="114"/>
  </w:num>
  <w:num w:numId="172" w16cid:durableId="1559586605">
    <w:abstractNumId w:val="11"/>
  </w:num>
  <w:num w:numId="173" w16cid:durableId="1881550930">
    <w:abstractNumId w:val="181"/>
  </w:num>
  <w:num w:numId="174" w16cid:durableId="2082830770">
    <w:abstractNumId w:val="164"/>
  </w:num>
  <w:num w:numId="175" w16cid:durableId="548763898">
    <w:abstractNumId w:val="141"/>
  </w:num>
  <w:num w:numId="176" w16cid:durableId="1584945843">
    <w:abstractNumId w:val="185"/>
  </w:num>
  <w:num w:numId="177" w16cid:durableId="1171408180">
    <w:abstractNumId w:val="105"/>
  </w:num>
  <w:num w:numId="178" w16cid:durableId="1691494486">
    <w:abstractNumId w:val="53"/>
  </w:num>
  <w:num w:numId="179" w16cid:durableId="741804181">
    <w:abstractNumId w:val="159"/>
    <w:lvlOverride w:ilvl="0">
      <w:startOverride w:val="1"/>
    </w:lvlOverride>
    <w:lvlOverride w:ilvl="1"/>
    <w:lvlOverride w:ilvl="2"/>
    <w:lvlOverride w:ilvl="3"/>
    <w:lvlOverride w:ilvl="4"/>
    <w:lvlOverride w:ilvl="5"/>
    <w:lvlOverride w:ilvl="6"/>
    <w:lvlOverride w:ilvl="7"/>
    <w:lvlOverride w:ilvl="8"/>
  </w:num>
  <w:num w:numId="180" w16cid:durableId="1698197383">
    <w:abstractNumId w:val="137"/>
    <w:lvlOverride w:ilvl="0"/>
    <w:lvlOverride w:ilvl="1"/>
    <w:lvlOverride w:ilvl="2"/>
    <w:lvlOverride w:ilvl="3"/>
    <w:lvlOverride w:ilvl="4"/>
    <w:lvlOverride w:ilvl="5"/>
    <w:lvlOverride w:ilvl="6"/>
    <w:lvlOverride w:ilvl="7"/>
    <w:lvlOverride w:ilvl="8"/>
  </w:num>
  <w:num w:numId="181" w16cid:durableId="152293571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66464583">
    <w:abstractNumId w:val="50"/>
  </w:num>
  <w:num w:numId="183" w16cid:durableId="155611160">
    <w:abstractNumId w:val="130"/>
  </w:num>
  <w:num w:numId="184" w16cid:durableId="111638533">
    <w:abstractNumId w:val="4"/>
  </w:num>
  <w:num w:numId="185" w16cid:durableId="527330748">
    <w:abstractNumId w:val="52"/>
  </w:num>
  <w:num w:numId="186" w16cid:durableId="238948010">
    <w:abstractNumId w:val="67"/>
  </w:num>
  <w:num w:numId="187" w16cid:durableId="821576795">
    <w:abstractNumId w:val="41"/>
  </w:num>
  <w:num w:numId="188" w16cid:durableId="16093180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1"/>
  <w:activeWritingStyle w:appName="MSWord" w:lang="en-US"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26"/>
    <w:rsid w:val="00000966"/>
    <w:rsid w:val="000052F3"/>
    <w:rsid w:val="00006C32"/>
    <w:rsid w:val="00012F43"/>
    <w:rsid w:val="000228F0"/>
    <w:rsid w:val="0002324C"/>
    <w:rsid w:val="0003027D"/>
    <w:rsid w:val="000350B2"/>
    <w:rsid w:val="00042BC0"/>
    <w:rsid w:val="0004635D"/>
    <w:rsid w:val="0004750D"/>
    <w:rsid w:val="00056520"/>
    <w:rsid w:val="000604EE"/>
    <w:rsid w:val="00064132"/>
    <w:rsid w:val="00070D08"/>
    <w:rsid w:val="000800C5"/>
    <w:rsid w:val="00081536"/>
    <w:rsid w:val="00083F3A"/>
    <w:rsid w:val="00093509"/>
    <w:rsid w:val="000A15F8"/>
    <w:rsid w:val="000A396B"/>
    <w:rsid w:val="000A7560"/>
    <w:rsid w:val="000B73C4"/>
    <w:rsid w:val="000C49D3"/>
    <w:rsid w:val="000C4A49"/>
    <w:rsid w:val="000C7092"/>
    <w:rsid w:val="000C7D2E"/>
    <w:rsid w:val="000D1D26"/>
    <w:rsid w:val="000D57AE"/>
    <w:rsid w:val="000E3B1B"/>
    <w:rsid w:val="000F0C75"/>
    <w:rsid w:val="000F60E4"/>
    <w:rsid w:val="00101454"/>
    <w:rsid w:val="00101926"/>
    <w:rsid w:val="001120BD"/>
    <w:rsid w:val="00122BCF"/>
    <w:rsid w:val="0012757A"/>
    <w:rsid w:val="0013511D"/>
    <w:rsid w:val="00135394"/>
    <w:rsid w:val="00137C60"/>
    <w:rsid w:val="00140D7C"/>
    <w:rsid w:val="00152498"/>
    <w:rsid w:val="00153183"/>
    <w:rsid w:val="001560A7"/>
    <w:rsid w:val="00157C13"/>
    <w:rsid w:val="00164097"/>
    <w:rsid w:val="00166BC5"/>
    <w:rsid w:val="00171A5E"/>
    <w:rsid w:val="00180F3A"/>
    <w:rsid w:val="00185751"/>
    <w:rsid w:val="001901C5"/>
    <w:rsid w:val="001938AF"/>
    <w:rsid w:val="00195790"/>
    <w:rsid w:val="00195E5C"/>
    <w:rsid w:val="001967CD"/>
    <w:rsid w:val="001978F0"/>
    <w:rsid w:val="00197A57"/>
    <w:rsid w:val="001A14D8"/>
    <w:rsid w:val="001A4C52"/>
    <w:rsid w:val="001B04C0"/>
    <w:rsid w:val="001B3C32"/>
    <w:rsid w:val="001C3ABC"/>
    <w:rsid w:val="001D1834"/>
    <w:rsid w:val="001D74B2"/>
    <w:rsid w:val="001E19EA"/>
    <w:rsid w:val="001F0F1C"/>
    <w:rsid w:val="0020404C"/>
    <w:rsid w:val="002058A5"/>
    <w:rsid w:val="00242F18"/>
    <w:rsid w:val="00246B40"/>
    <w:rsid w:val="00255EA5"/>
    <w:rsid w:val="00256D7B"/>
    <w:rsid w:val="002571D5"/>
    <w:rsid w:val="0025783F"/>
    <w:rsid w:val="00260E4E"/>
    <w:rsid w:val="002654C3"/>
    <w:rsid w:val="002675AB"/>
    <w:rsid w:val="00271B9B"/>
    <w:rsid w:val="002721C8"/>
    <w:rsid w:val="00280ED0"/>
    <w:rsid w:val="00283639"/>
    <w:rsid w:val="00284B8D"/>
    <w:rsid w:val="0028740C"/>
    <w:rsid w:val="002914D9"/>
    <w:rsid w:val="0029506D"/>
    <w:rsid w:val="002A1FA9"/>
    <w:rsid w:val="002A5B22"/>
    <w:rsid w:val="002C0E18"/>
    <w:rsid w:val="002C5E54"/>
    <w:rsid w:val="002E4855"/>
    <w:rsid w:val="002F42CC"/>
    <w:rsid w:val="002F4A38"/>
    <w:rsid w:val="002F7414"/>
    <w:rsid w:val="003017CE"/>
    <w:rsid w:val="003031BB"/>
    <w:rsid w:val="00303879"/>
    <w:rsid w:val="003042D2"/>
    <w:rsid w:val="00306452"/>
    <w:rsid w:val="0031271A"/>
    <w:rsid w:val="0031765B"/>
    <w:rsid w:val="003206E8"/>
    <w:rsid w:val="0034073B"/>
    <w:rsid w:val="003413B3"/>
    <w:rsid w:val="003420D9"/>
    <w:rsid w:val="00343CC4"/>
    <w:rsid w:val="003449B1"/>
    <w:rsid w:val="003570C0"/>
    <w:rsid w:val="003664CF"/>
    <w:rsid w:val="00370D50"/>
    <w:rsid w:val="00374800"/>
    <w:rsid w:val="00383A9F"/>
    <w:rsid w:val="00384695"/>
    <w:rsid w:val="00387C2D"/>
    <w:rsid w:val="003934A4"/>
    <w:rsid w:val="00393500"/>
    <w:rsid w:val="003C1BD2"/>
    <w:rsid w:val="003D1273"/>
    <w:rsid w:val="003D267D"/>
    <w:rsid w:val="003D462C"/>
    <w:rsid w:val="003E2AD2"/>
    <w:rsid w:val="003F2014"/>
    <w:rsid w:val="004062FE"/>
    <w:rsid w:val="0041284A"/>
    <w:rsid w:val="00414EB4"/>
    <w:rsid w:val="00427597"/>
    <w:rsid w:val="00431D55"/>
    <w:rsid w:val="00434989"/>
    <w:rsid w:val="00435D2A"/>
    <w:rsid w:val="00436573"/>
    <w:rsid w:val="00436DC6"/>
    <w:rsid w:val="004374FD"/>
    <w:rsid w:val="0043798D"/>
    <w:rsid w:val="00442BDB"/>
    <w:rsid w:val="00443054"/>
    <w:rsid w:val="004453D2"/>
    <w:rsid w:val="00457240"/>
    <w:rsid w:val="00463A3A"/>
    <w:rsid w:val="00466DB5"/>
    <w:rsid w:val="00481FAF"/>
    <w:rsid w:val="00483991"/>
    <w:rsid w:val="004850A1"/>
    <w:rsid w:val="0048650A"/>
    <w:rsid w:val="0049050F"/>
    <w:rsid w:val="00491AC4"/>
    <w:rsid w:val="004924C0"/>
    <w:rsid w:val="00492DDC"/>
    <w:rsid w:val="00493B95"/>
    <w:rsid w:val="004961C6"/>
    <w:rsid w:val="004A0E1B"/>
    <w:rsid w:val="004A1FF9"/>
    <w:rsid w:val="004A388F"/>
    <w:rsid w:val="004B7B0B"/>
    <w:rsid w:val="004C26C3"/>
    <w:rsid w:val="004C49D3"/>
    <w:rsid w:val="004D0EB0"/>
    <w:rsid w:val="004F08A3"/>
    <w:rsid w:val="005169C6"/>
    <w:rsid w:val="00524C4B"/>
    <w:rsid w:val="005275E6"/>
    <w:rsid w:val="00533293"/>
    <w:rsid w:val="005337D7"/>
    <w:rsid w:val="005434D5"/>
    <w:rsid w:val="005664EF"/>
    <w:rsid w:val="00580081"/>
    <w:rsid w:val="00581CBC"/>
    <w:rsid w:val="0058586C"/>
    <w:rsid w:val="00587C42"/>
    <w:rsid w:val="005A0E11"/>
    <w:rsid w:val="005A12C3"/>
    <w:rsid w:val="005B5877"/>
    <w:rsid w:val="005B661C"/>
    <w:rsid w:val="005C1958"/>
    <w:rsid w:val="005C6327"/>
    <w:rsid w:val="005D2F23"/>
    <w:rsid w:val="005E0BAB"/>
    <w:rsid w:val="005E648C"/>
    <w:rsid w:val="005F2D34"/>
    <w:rsid w:val="006131E4"/>
    <w:rsid w:val="0061434B"/>
    <w:rsid w:val="00615F2C"/>
    <w:rsid w:val="00616039"/>
    <w:rsid w:val="00622ADB"/>
    <w:rsid w:val="00626800"/>
    <w:rsid w:val="006302B2"/>
    <w:rsid w:val="00635685"/>
    <w:rsid w:val="0064237E"/>
    <w:rsid w:val="00655AAF"/>
    <w:rsid w:val="00660B32"/>
    <w:rsid w:val="0066318B"/>
    <w:rsid w:val="00673264"/>
    <w:rsid w:val="00680096"/>
    <w:rsid w:val="00685E5D"/>
    <w:rsid w:val="00695BB2"/>
    <w:rsid w:val="00695C5B"/>
    <w:rsid w:val="006A133F"/>
    <w:rsid w:val="006A135E"/>
    <w:rsid w:val="006D3859"/>
    <w:rsid w:val="006D6716"/>
    <w:rsid w:val="006E6387"/>
    <w:rsid w:val="006E66A5"/>
    <w:rsid w:val="006F0AAB"/>
    <w:rsid w:val="006F72DB"/>
    <w:rsid w:val="007016AE"/>
    <w:rsid w:val="007016E9"/>
    <w:rsid w:val="00705F98"/>
    <w:rsid w:val="0071177A"/>
    <w:rsid w:val="0072074F"/>
    <w:rsid w:val="00721175"/>
    <w:rsid w:val="00722D61"/>
    <w:rsid w:val="00723AA4"/>
    <w:rsid w:val="007274C0"/>
    <w:rsid w:val="00730FFB"/>
    <w:rsid w:val="007314AF"/>
    <w:rsid w:val="00732163"/>
    <w:rsid w:val="0073255E"/>
    <w:rsid w:val="00734135"/>
    <w:rsid w:val="00735D3E"/>
    <w:rsid w:val="007372A6"/>
    <w:rsid w:val="00741DAD"/>
    <w:rsid w:val="0074753C"/>
    <w:rsid w:val="007534BE"/>
    <w:rsid w:val="00761548"/>
    <w:rsid w:val="00790101"/>
    <w:rsid w:val="0079059B"/>
    <w:rsid w:val="00791195"/>
    <w:rsid w:val="00794AB3"/>
    <w:rsid w:val="007B4937"/>
    <w:rsid w:val="007B6DC1"/>
    <w:rsid w:val="007C4205"/>
    <w:rsid w:val="007C4DB8"/>
    <w:rsid w:val="007D4EBA"/>
    <w:rsid w:val="007D509A"/>
    <w:rsid w:val="007D6A67"/>
    <w:rsid w:val="007E4E26"/>
    <w:rsid w:val="007E517C"/>
    <w:rsid w:val="007E6153"/>
    <w:rsid w:val="007F0390"/>
    <w:rsid w:val="007F3A58"/>
    <w:rsid w:val="007F5DB1"/>
    <w:rsid w:val="00807F91"/>
    <w:rsid w:val="00812B36"/>
    <w:rsid w:val="008201B3"/>
    <w:rsid w:val="00824EE2"/>
    <w:rsid w:val="00841EFE"/>
    <w:rsid w:val="00843771"/>
    <w:rsid w:val="008501E2"/>
    <w:rsid w:val="00856EE5"/>
    <w:rsid w:val="00857143"/>
    <w:rsid w:val="00866995"/>
    <w:rsid w:val="00867026"/>
    <w:rsid w:val="00870D4F"/>
    <w:rsid w:val="00871361"/>
    <w:rsid w:val="0088704A"/>
    <w:rsid w:val="00891385"/>
    <w:rsid w:val="00894467"/>
    <w:rsid w:val="008A6F50"/>
    <w:rsid w:val="008C381E"/>
    <w:rsid w:val="008D653A"/>
    <w:rsid w:val="008E2566"/>
    <w:rsid w:val="008E3B90"/>
    <w:rsid w:val="008F1040"/>
    <w:rsid w:val="008F7EA2"/>
    <w:rsid w:val="00901DB9"/>
    <w:rsid w:val="00905784"/>
    <w:rsid w:val="00912808"/>
    <w:rsid w:val="00913E6E"/>
    <w:rsid w:val="00914FD2"/>
    <w:rsid w:val="00932464"/>
    <w:rsid w:val="009419AA"/>
    <w:rsid w:val="00951B8C"/>
    <w:rsid w:val="0095506C"/>
    <w:rsid w:val="0096246C"/>
    <w:rsid w:val="009653B7"/>
    <w:rsid w:val="009766FE"/>
    <w:rsid w:val="00976DC0"/>
    <w:rsid w:val="00982638"/>
    <w:rsid w:val="00984207"/>
    <w:rsid w:val="00984378"/>
    <w:rsid w:val="00990283"/>
    <w:rsid w:val="009934C3"/>
    <w:rsid w:val="009A2128"/>
    <w:rsid w:val="009A37F3"/>
    <w:rsid w:val="009A4B26"/>
    <w:rsid w:val="009A4C35"/>
    <w:rsid w:val="009A5531"/>
    <w:rsid w:val="009A7CF9"/>
    <w:rsid w:val="009B359D"/>
    <w:rsid w:val="009C590B"/>
    <w:rsid w:val="009D0651"/>
    <w:rsid w:val="009D0894"/>
    <w:rsid w:val="009E7CDF"/>
    <w:rsid w:val="009F27D9"/>
    <w:rsid w:val="00A00978"/>
    <w:rsid w:val="00A0461E"/>
    <w:rsid w:val="00A11BB0"/>
    <w:rsid w:val="00A12E80"/>
    <w:rsid w:val="00A330D1"/>
    <w:rsid w:val="00A3576B"/>
    <w:rsid w:val="00A40D27"/>
    <w:rsid w:val="00A428AA"/>
    <w:rsid w:val="00A63848"/>
    <w:rsid w:val="00A6389E"/>
    <w:rsid w:val="00A67F5A"/>
    <w:rsid w:val="00A76818"/>
    <w:rsid w:val="00A81B74"/>
    <w:rsid w:val="00A83E72"/>
    <w:rsid w:val="00A94E2E"/>
    <w:rsid w:val="00A95637"/>
    <w:rsid w:val="00AA1F89"/>
    <w:rsid w:val="00AA2EFB"/>
    <w:rsid w:val="00AB422A"/>
    <w:rsid w:val="00AB6EE2"/>
    <w:rsid w:val="00AD506A"/>
    <w:rsid w:val="00AD6984"/>
    <w:rsid w:val="00AF17DC"/>
    <w:rsid w:val="00AF7381"/>
    <w:rsid w:val="00B02B72"/>
    <w:rsid w:val="00B11059"/>
    <w:rsid w:val="00B11889"/>
    <w:rsid w:val="00B12074"/>
    <w:rsid w:val="00B14198"/>
    <w:rsid w:val="00B14BD4"/>
    <w:rsid w:val="00B16267"/>
    <w:rsid w:val="00B54394"/>
    <w:rsid w:val="00B60E76"/>
    <w:rsid w:val="00B60F86"/>
    <w:rsid w:val="00B71102"/>
    <w:rsid w:val="00B74C5E"/>
    <w:rsid w:val="00B75034"/>
    <w:rsid w:val="00B82EDE"/>
    <w:rsid w:val="00B86310"/>
    <w:rsid w:val="00BA3440"/>
    <w:rsid w:val="00BA60F0"/>
    <w:rsid w:val="00BB3EE0"/>
    <w:rsid w:val="00BC21B9"/>
    <w:rsid w:val="00BC2369"/>
    <w:rsid w:val="00BC6C26"/>
    <w:rsid w:val="00BC7FED"/>
    <w:rsid w:val="00BD03D9"/>
    <w:rsid w:val="00BD69D9"/>
    <w:rsid w:val="00BD6A6C"/>
    <w:rsid w:val="00BE4733"/>
    <w:rsid w:val="00BE4B1E"/>
    <w:rsid w:val="00BE59A7"/>
    <w:rsid w:val="00BE60F6"/>
    <w:rsid w:val="00BF1A00"/>
    <w:rsid w:val="00BF2C40"/>
    <w:rsid w:val="00BF3A53"/>
    <w:rsid w:val="00BF7FF4"/>
    <w:rsid w:val="00C10DD6"/>
    <w:rsid w:val="00C11CDE"/>
    <w:rsid w:val="00C13327"/>
    <w:rsid w:val="00C231A2"/>
    <w:rsid w:val="00C244B2"/>
    <w:rsid w:val="00C447D9"/>
    <w:rsid w:val="00C459CF"/>
    <w:rsid w:val="00C51060"/>
    <w:rsid w:val="00C52BB8"/>
    <w:rsid w:val="00C67B37"/>
    <w:rsid w:val="00C728F7"/>
    <w:rsid w:val="00C777B8"/>
    <w:rsid w:val="00C86890"/>
    <w:rsid w:val="00CA5206"/>
    <w:rsid w:val="00CA6E35"/>
    <w:rsid w:val="00CA721A"/>
    <w:rsid w:val="00CB14E5"/>
    <w:rsid w:val="00CB1B41"/>
    <w:rsid w:val="00CB2A9B"/>
    <w:rsid w:val="00CB4520"/>
    <w:rsid w:val="00CC61AB"/>
    <w:rsid w:val="00CC66D9"/>
    <w:rsid w:val="00CC6B49"/>
    <w:rsid w:val="00CC6CDE"/>
    <w:rsid w:val="00CD0AF8"/>
    <w:rsid w:val="00CD17E5"/>
    <w:rsid w:val="00CD1993"/>
    <w:rsid w:val="00CE0915"/>
    <w:rsid w:val="00CE332F"/>
    <w:rsid w:val="00CE530F"/>
    <w:rsid w:val="00CF123B"/>
    <w:rsid w:val="00CF75A0"/>
    <w:rsid w:val="00D10FC8"/>
    <w:rsid w:val="00D12B35"/>
    <w:rsid w:val="00D12C43"/>
    <w:rsid w:val="00D170AD"/>
    <w:rsid w:val="00D31981"/>
    <w:rsid w:val="00D33FB5"/>
    <w:rsid w:val="00D3629F"/>
    <w:rsid w:val="00D47164"/>
    <w:rsid w:val="00D52F78"/>
    <w:rsid w:val="00D648A0"/>
    <w:rsid w:val="00D67A35"/>
    <w:rsid w:val="00D7085D"/>
    <w:rsid w:val="00D73D14"/>
    <w:rsid w:val="00D745DD"/>
    <w:rsid w:val="00D750DC"/>
    <w:rsid w:val="00DA30C2"/>
    <w:rsid w:val="00DA4EF4"/>
    <w:rsid w:val="00DB794E"/>
    <w:rsid w:val="00DC3BE5"/>
    <w:rsid w:val="00DD04CF"/>
    <w:rsid w:val="00DD570F"/>
    <w:rsid w:val="00DE7F1F"/>
    <w:rsid w:val="00DF0C3C"/>
    <w:rsid w:val="00DF60F0"/>
    <w:rsid w:val="00DF7055"/>
    <w:rsid w:val="00E045B0"/>
    <w:rsid w:val="00E13D8B"/>
    <w:rsid w:val="00E16BCE"/>
    <w:rsid w:val="00E176D1"/>
    <w:rsid w:val="00E41028"/>
    <w:rsid w:val="00E510C3"/>
    <w:rsid w:val="00E57219"/>
    <w:rsid w:val="00E62680"/>
    <w:rsid w:val="00E6322A"/>
    <w:rsid w:val="00E67A82"/>
    <w:rsid w:val="00E7012F"/>
    <w:rsid w:val="00E72448"/>
    <w:rsid w:val="00E84DD3"/>
    <w:rsid w:val="00E86AB0"/>
    <w:rsid w:val="00E90BB1"/>
    <w:rsid w:val="00E90D39"/>
    <w:rsid w:val="00E9577B"/>
    <w:rsid w:val="00E97D6C"/>
    <w:rsid w:val="00EA64FF"/>
    <w:rsid w:val="00EA7DFC"/>
    <w:rsid w:val="00EB1334"/>
    <w:rsid w:val="00EC74A5"/>
    <w:rsid w:val="00EE1DEE"/>
    <w:rsid w:val="00EF0D8B"/>
    <w:rsid w:val="00EF1214"/>
    <w:rsid w:val="00EF4ED4"/>
    <w:rsid w:val="00F243EE"/>
    <w:rsid w:val="00F25D2F"/>
    <w:rsid w:val="00F31FB5"/>
    <w:rsid w:val="00F44868"/>
    <w:rsid w:val="00F46541"/>
    <w:rsid w:val="00F5326A"/>
    <w:rsid w:val="00F53AE6"/>
    <w:rsid w:val="00F61082"/>
    <w:rsid w:val="00F642B9"/>
    <w:rsid w:val="00F67B5B"/>
    <w:rsid w:val="00F73B3A"/>
    <w:rsid w:val="00F73C58"/>
    <w:rsid w:val="00F769D9"/>
    <w:rsid w:val="00F80BC0"/>
    <w:rsid w:val="00F866C0"/>
    <w:rsid w:val="00F90BC7"/>
    <w:rsid w:val="00FA078E"/>
    <w:rsid w:val="00FA1F51"/>
    <w:rsid w:val="00FA2F87"/>
    <w:rsid w:val="00FA4B4E"/>
    <w:rsid w:val="00FB4A55"/>
    <w:rsid w:val="00FB4F1E"/>
    <w:rsid w:val="00FB7E26"/>
    <w:rsid w:val="00FC037D"/>
    <w:rsid w:val="00FC3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96AF9F"/>
  <w14:defaultImageDpi w14:val="300"/>
  <w15:docId w15:val="{75FD906F-92B9-4A43-97C2-411296BE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BB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604EE"/>
    <w:pPr>
      <w:contextualSpacing/>
      <w:outlineLvl w:val="0"/>
    </w:pPr>
    <w:rPr>
      <w:smallCaps/>
      <w:color w:val="F19416"/>
      <w:spacing w:val="5"/>
      <w:sz w:val="32"/>
      <w:szCs w:val="32"/>
    </w:rPr>
  </w:style>
  <w:style w:type="paragraph" w:styleId="Heading2">
    <w:name w:val="heading 2"/>
    <w:basedOn w:val="Normal"/>
    <w:next w:val="Normal"/>
    <w:link w:val="Heading2Char"/>
    <w:uiPriority w:val="9"/>
    <w:unhideWhenUsed/>
    <w:qFormat/>
    <w:rsid w:val="0071177A"/>
    <w:pPr>
      <w:spacing w:before="200" w:line="271" w:lineRule="auto"/>
      <w:outlineLvl w:val="1"/>
    </w:pPr>
    <w:rPr>
      <w:smallCaps/>
      <w:sz w:val="28"/>
      <w:szCs w:val="28"/>
    </w:rPr>
  </w:style>
  <w:style w:type="paragraph" w:styleId="Heading3">
    <w:name w:val="heading 3"/>
    <w:basedOn w:val="Normal"/>
    <w:next w:val="Normal"/>
    <w:link w:val="Heading3Char"/>
    <w:uiPriority w:val="9"/>
    <w:unhideWhenUsed/>
    <w:qFormat/>
    <w:rsid w:val="0071177A"/>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71177A"/>
    <w:pPr>
      <w:spacing w:line="271" w:lineRule="auto"/>
      <w:outlineLvl w:val="3"/>
    </w:pPr>
    <w:rPr>
      <w:b/>
      <w:bCs/>
      <w:spacing w:val="5"/>
    </w:rPr>
  </w:style>
  <w:style w:type="paragraph" w:styleId="Heading5">
    <w:name w:val="heading 5"/>
    <w:basedOn w:val="Normal"/>
    <w:next w:val="Normal"/>
    <w:link w:val="Heading5Char"/>
    <w:uiPriority w:val="9"/>
    <w:unhideWhenUsed/>
    <w:qFormat/>
    <w:rsid w:val="0071177A"/>
    <w:pPr>
      <w:spacing w:line="271" w:lineRule="auto"/>
      <w:outlineLvl w:val="4"/>
    </w:pPr>
    <w:rPr>
      <w:i/>
      <w:iCs/>
    </w:rPr>
  </w:style>
  <w:style w:type="paragraph" w:styleId="Heading6">
    <w:name w:val="heading 6"/>
    <w:basedOn w:val="Normal"/>
    <w:next w:val="Normal"/>
    <w:link w:val="Heading6Char"/>
    <w:uiPriority w:val="9"/>
    <w:unhideWhenUsed/>
    <w:qFormat/>
    <w:rsid w:val="0071177A"/>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unhideWhenUsed/>
    <w:qFormat/>
    <w:rsid w:val="0071177A"/>
    <w:pPr>
      <w:outlineLvl w:val="6"/>
    </w:pPr>
    <w:rPr>
      <w:b/>
      <w:bCs/>
      <w:i/>
      <w:iCs/>
      <w:color w:val="5A5A5A" w:themeColor="text1" w:themeTint="A5"/>
      <w:sz w:val="20"/>
      <w:szCs w:val="20"/>
    </w:rPr>
  </w:style>
  <w:style w:type="paragraph" w:styleId="Heading8">
    <w:name w:val="heading 8"/>
    <w:basedOn w:val="Normal"/>
    <w:next w:val="Normal"/>
    <w:link w:val="Heading8Char"/>
    <w:uiPriority w:val="9"/>
    <w:unhideWhenUsed/>
    <w:qFormat/>
    <w:rsid w:val="0071177A"/>
    <w:pPr>
      <w:outlineLvl w:val="7"/>
    </w:pPr>
    <w:rPr>
      <w:b/>
      <w:bCs/>
      <w:color w:val="7F7F7F" w:themeColor="text1" w:themeTint="80"/>
      <w:sz w:val="20"/>
      <w:szCs w:val="20"/>
    </w:rPr>
  </w:style>
  <w:style w:type="paragraph" w:styleId="Heading9">
    <w:name w:val="heading 9"/>
    <w:basedOn w:val="Normal"/>
    <w:next w:val="Normal"/>
    <w:link w:val="Heading9Char"/>
    <w:uiPriority w:val="9"/>
    <w:unhideWhenUsed/>
    <w:qFormat/>
    <w:rsid w:val="0071177A"/>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9CF"/>
    <w:pPr>
      <w:tabs>
        <w:tab w:val="center" w:pos="4320"/>
        <w:tab w:val="right" w:pos="8640"/>
      </w:tabs>
    </w:pPr>
  </w:style>
  <w:style w:type="character" w:customStyle="1" w:styleId="HeaderChar">
    <w:name w:val="Header Char"/>
    <w:basedOn w:val="DefaultParagraphFont"/>
    <w:link w:val="Header"/>
    <w:uiPriority w:val="99"/>
    <w:rsid w:val="00C459CF"/>
  </w:style>
  <w:style w:type="paragraph" w:styleId="Footer">
    <w:name w:val="footer"/>
    <w:basedOn w:val="Normal"/>
    <w:link w:val="FooterChar"/>
    <w:uiPriority w:val="99"/>
    <w:unhideWhenUsed/>
    <w:rsid w:val="00695BB2"/>
    <w:pPr>
      <w:tabs>
        <w:tab w:val="center" w:pos="4320"/>
        <w:tab w:val="right" w:pos="8640"/>
      </w:tabs>
    </w:pPr>
    <w:rPr>
      <w:sz w:val="16"/>
    </w:rPr>
  </w:style>
  <w:style w:type="character" w:customStyle="1" w:styleId="FooterChar">
    <w:name w:val="Footer Char"/>
    <w:link w:val="Footer"/>
    <w:uiPriority w:val="99"/>
    <w:rsid w:val="00695BB2"/>
    <w:rPr>
      <w:rFonts w:ascii="Calibri" w:hAnsi="Calibri"/>
      <w:sz w:val="16"/>
      <w:szCs w:val="20"/>
    </w:rPr>
  </w:style>
  <w:style w:type="character" w:customStyle="1" w:styleId="Heading1Char">
    <w:name w:val="Heading 1 Char"/>
    <w:basedOn w:val="DefaultParagraphFont"/>
    <w:link w:val="Heading1"/>
    <w:uiPriority w:val="9"/>
    <w:rsid w:val="000604EE"/>
    <w:rPr>
      <w:rFonts w:ascii="Times New Roman" w:eastAsia="Times New Roman" w:hAnsi="Times New Roman" w:cs="Times New Roman"/>
      <w:smallCaps/>
      <w:color w:val="F19416"/>
      <w:spacing w:val="5"/>
      <w:sz w:val="32"/>
      <w:szCs w:val="32"/>
    </w:rPr>
  </w:style>
  <w:style w:type="character" w:customStyle="1" w:styleId="Heading2Char">
    <w:name w:val="Heading 2 Char"/>
    <w:basedOn w:val="DefaultParagraphFont"/>
    <w:link w:val="Heading2"/>
    <w:uiPriority w:val="9"/>
    <w:rsid w:val="0071177A"/>
    <w:rPr>
      <w:smallCaps/>
      <w:sz w:val="28"/>
      <w:szCs w:val="28"/>
    </w:rPr>
  </w:style>
  <w:style w:type="character" w:customStyle="1" w:styleId="Heading3Char">
    <w:name w:val="Heading 3 Char"/>
    <w:basedOn w:val="DefaultParagraphFont"/>
    <w:link w:val="Heading3"/>
    <w:uiPriority w:val="9"/>
    <w:rsid w:val="0071177A"/>
    <w:rPr>
      <w:i/>
      <w:iCs/>
      <w:smallCaps/>
      <w:spacing w:val="5"/>
      <w:sz w:val="26"/>
      <w:szCs w:val="26"/>
    </w:rPr>
  </w:style>
  <w:style w:type="character" w:customStyle="1" w:styleId="Heading4Char">
    <w:name w:val="Heading 4 Char"/>
    <w:basedOn w:val="DefaultParagraphFont"/>
    <w:link w:val="Heading4"/>
    <w:uiPriority w:val="9"/>
    <w:rsid w:val="0071177A"/>
    <w:rPr>
      <w:b/>
      <w:bCs/>
      <w:spacing w:val="5"/>
      <w:sz w:val="24"/>
      <w:szCs w:val="24"/>
    </w:rPr>
  </w:style>
  <w:style w:type="character" w:customStyle="1" w:styleId="Heading5Char">
    <w:name w:val="Heading 5 Char"/>
    <w:basedOn w:val="DefaultParagraphFont"/>
    <w:link w:val="Heading5"/>
    <w:uiPriority w:val="9"/>
    <w:rsid w:val="0071177A"/>
    <w:rPr>
      <w:i/>
      <w:iCs/>
      <w:sz w:val="24"/>
      <w:szCs w:val="24"/>
    </w:rPr>
  </w:style>
  <w:style w:type="character" w:customStyle="1" w:styleId="Heading6Char">
    <w:name w:val="Heading 6 Char"/>
    <w:basedOn w:val="DefaultParagraphFont"/>
    <w:link w:val="Heading6"/>
    <w:uiPriority w:val="9"/>
    <w:rsid w:val="0071177A"/>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rsid w:val="0071177A"/>
    <w:rPr>
      <w:b/>
      <w:bCs/>
      <w:i/>
      <w:iCs/>
      <w:color w:val="5A5A5A" w:themeColor="text1" w:themeTint="A5"/>
      <w:sz w:val="20"/>
      <w:szCs w:val="20"/>
    </w:rPr>
  </w:style>
  <w:style w:type="character" w:customStyle="1" w:styleId="Heading8Char">
    <w:name w:val="Heading 8 Char"/>
    <w:basedOn w:val="DefaultParagraphFont"/>
    <w:link w:val="Heading8"/>
    <w:uiPriority w:val="9"/>
    <w:rsid w:val="0071177A"/>
    <w:rPr>
      <w:b/>
      <w:bCs/>
      <w:color w:val="7F7F7F" w:themeColor="text1" w:themeTint="80"/>
      <w:sz w:val="20"/>
      <w:szCs w:val="20"/>
    </w:rPr>
  </w:style>
  <w:style w:type="character" w:customStyle="1" w:styleId="Heading9Char">
    <w:name w:val="Heading 9 Char"/>
    <w:basedOn w:val="DefaultParagraphFont"/>
    <w:link w:val="Heading9"/>
    <w:uiPriority w:val="9"/>
    <w:rsid w:val="0071177A"/>
    <w:rPr>
      <w:b/>
      <w:bCs/>
      <w:i/>
      <w:iCs/>
      <w:color w:val="7F7F7F" w:themeColor="text1" w:themeTint="80"/>
      <w:sz w:val="18"/>
      <w:szCs w:val="18"/>
    </w:rPr>
  </w:style>
  <w:style w:type="paragraph" w:styleId="Caption">
    <w:name w:val="caption"/>
    <w:basedOn w:val="Normal"/>
    <w:next w:val="Normal"/>
    <w:uiPriority w:val="35"/>
    <w:semiHidden/>
    <w:unhideWhenUsed/>
    <w:rsid w:val="0071177A"/>
    <w:rPr>
      <w:caps/>
      <w:spacing w:val="10"/>
      <w:sz w:val="18"/>
      <w:szCs w:val="18"/>
    </w:rPr>
  </w:style>
  <w:style w:type="paragraph" w:styleId="Title">
    <w:name w:val="Title"/>
    <w:basedOn w:val="Normal"/>
    <w:next w:val="Normal"/>
    <w:link w:val="TitleChar"/>
    <w:uiPriority w:val="10"/>
    <w:qFormat/>
    <w:rsid w:val="0071177A"/>
    <w:pPr>
      <w:spacing w:after="300"/>
      <w:contextualSpacing/>
    </w:pPr>
    <w:rPr>
      <w:smallCaps/>
      <w:sz w:val="52"/>
      <w:szCs w:val="52"/>
    </w:rPr>
  </w:style>
  <w:style w:type="character" w:customStyle="1" w:styleId="TitleChar">
    <w:name w:val="Title Char"/>
    <w:basedOn w:val="DefaultParagraphFont"/>
    <w:link w:val="Title"/>
    <w:uiPriority w:val="10"/>
    <w:rsid w:val="0071177A"/>
    <w:rPr>
      <w:smallCaps/>
      <w:sz w:val="52"/>
      <w:szCs w:val="52"/>
    </w:rPr>
  </w:style>
  <w:style w:type="paragraph" w:styleId="Subtitle">
    <w:name w:val="Subtitle"/>
    <w:basedOn w:val="Normal"/>
    <w:next w:val="Normal"/>
    <w:link w:val="SubtitleChar"/>
    <w:uiPriority w:val="11"/>
    <w:qFormat/>
    <w:rsid w:val="0071177A"/>
    <w:rPr>
      <w:i/>
      <w:iCs/>
      <w:smallCaps/>
      <w:spacing w:val="10"/>
      <w:sz w:val="28"/>
      <w:szCs w:val="28"/>
    </w:rPr>
  </w:style>
  <w:style w:type="character" w:customStyle="1" w:styleId="SubtitleChar">
    <w:name w:val="Subtitle Char"/>
    <w:basedOn w:val="DefaultParagraphFont"/>
    <w:link w:val="Subtitle"/>
    <w:uiPriority w:val="11"/>
    <w:rsid w:val="0071177A"/>
    <w:rPr>
      <w:i/>
      <w:iCs/>
      <w:smallCaps/>
      <w:spacing w:val="10"/>
      <w:sz w:val="28"/>
      <w:szCs w:val="28"/>
    </w:rPr>
  </w:style>
  <w:style w:type="character" w:styleId="Strong">
    <w:name w:val="Strong"/>
    <w:uiPriority w:val="22"/>
    <w:qFormat/>
    <w:rsid w:val="0071177A"/>
    <w:rPr>
      <w:b/>
      <w:bCs/>
    </w:rPr>
  </w:style>
  <w:style w:type="character" w:styleId="Emphasis">
    <w:name w:val="Emphasis"/>
    <w:uiPriority w:val="20"/>
    <w:qFormat/>
    <w:rsid w:val="0071177A"/>
    <w:rPr>
      <w:b/>
      <w:bCs/>
      <w:i/>
      <w:iCs/>
      <w:spacing w:val="10"/>
    </w:rPr>
  </w:style>
  <w:style w:type="paragraph" w:styleId="NoSpacing">
    <w:name w:val="No Spacing"/>
    <w:basedOn w:val="Normal"/>
    <w:link w:val="NoSpacingChar"/>
    <w:uiPriority w:val="1"/>
    <w:qFormat/>
    <w:rsid w:val="0071177A"/>
  </w:style>
  <w:style w:type="character" w:customStyle="1" w:styleId="NoSpacingChar">
    <w:name w:val="No Spacing Char"/>
    <w:basedOn w:val="DefaultParagraphFont"/>
    <w:link w:val="NoSpacing"/>
    <w:uiPriority w:val="1"/>
    <w:rsid w:val="0071177A"/>
  </w:style>
  <w:style w:type="paragraph" w:styleId="ListParagraph">
    <w:name w:val="List Paragraph"/>
    <w:basedOn w:val="Normal"/>
    <w:uiPriority w:val="99"/>
    <w:qFormat/>
    <w:rsid w:val="0071177A"/>
    <w:pPr>
      <w:ind w:left="720"/>
      <w:contextualSpacing/>
    </w:pPr>
  </w:style>
  <w:style w:type="paragraph" w:styleId="Quote">
    <w:name w:val="Quote"/>
    <w:basedOn w:val="Normal"/>
    <w:next w:val="Normal"/>
    <w:link w:val="QuoteChar"/>
    <w:uiPriority w:val="29"/>
    <w:qFormat/>
    <w:rsid w:val="0071177A"/>
    <w:rPr>
      <w:i/>
      <w:iCs/>
    </w:rPr>
  </w:style>
  <w:style w:type="character" w:customStyle="1" w:styleId="QuoteChar">
    <w:name w:val="Quote Char"/>
    <w:basedOn w:val="DefaultParagraphFont"/>
    <w:link w:val="Quote"/>
    <w:uiPriority w:val="29"/>
    <w:rsid w:val="0071177A"/>
    <w:rPr>
      <w:i/>
      <w:iCs/>
    </w:rPr>
  </w:style>
  <w:style w:type="paragraph" w:styleId="IntenseQuote">
    <w:name w:val="Intense Quote"/>
    <w:basedOn w:val="Normal"/>
    <w:next w:val="Normal"/>
    <w:link w:val="IntenseQuoteChar"/>
    <w:uiPriority w:val="30"/>
    <w:qFormat/>
    <w:rsid w:val="0071177A"/>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1177A"/>
    <w:rPr>
      <w:i/>
      <w:iCs/>
    </w:rPr>
  </w:style>
  <w:style w:type="character" w:styleId="SubtleEmphasis">
    <w:name w:val="Subtle Emphasis"/>
    <w:uiPriority w:val="19"/>
    <w:qFormat/>
    <w:rsid w:val="0071177A"/>
    <w:rPr>
      <w:i/>
      <w:iCs/>
    </w:rPr>
  </w:style>
  <w:style w:type="character" w:styleId="IntenseEmphasis">
    <w:name w:val="Intense Emphasis"/>
    <w:uiPriority w:val="21"/>
    <w:qFormat/>
    <w:rsid w:val="0071177A"/>
    <w:rPr>
      <w:b/>
      <w:bCs/>
      <w:i/>
      <w:iCs/>
    </w:rPr>
  </w:style>
  <w:style w:type="character" w:styleId="SubtleReference">
    <w:name w:val="Subtle Reference"/>
    <w:basedOn w:val="DefaultParagraphFont"/>
    <w:uiPriority w:val="31"/>
    <w:qFormat/>
    <w:rsid w:val="0071177A"/>
    <w:rPr>
      <w:smallCaps/>
    </w:rPr>
  </w:style>
  <w:style w:type="character" w:styleId="IntenseReference">
    <w:name w:val="Intense Reference"/>
    <w:uiPriority w:val="32"/>
    <w:qFormat/>
    <w:rsid w:val="0071177A"/>
    <w:rPr>
      <w:b/>
      <w:bCs/>
      <w:smallCaps/>
    </w:rPr>
  </w:style>
  <w:style w:type="character" w:styleId="BookTitle">
    <w:name w:val="Book Title"/>
    <w:basedOn w:val="DefaultParagraphFont"/>
    <w:uiPriority w:val="33"/>
    <w:qFormat/>
    <w:rsid w:val="0071177A"/>
    <w:rPr>
      <w:i/>
      <w:iCs/>
      <w:smallCaps/>
      <w:spacing w:val="5"/>
    </w:rPr>
  </w:style>
  <w:style w:type="paragraph" w:styleId="TOCHeading">
    <w:name w:val="TOC Heading"/>
    <w:basedOn w:val="Heading1"/>
    <w:next w:val="Normal"/>
    <w:uiPriority w:val="39"/>
    <w:unhideWhenUsed/>
    <w:qFormat/>
    <w:rsid w:val="0071177A"/>
    <w:pPr>
      <w:outlineLvl w:val="9"/>
    </w:pPr>
  </w:style>
  <w:style w:type="character" w:styleId="PageNumber">
    <w:name w:val="page number"/>
    <w:basedOn w:val="DefaultParagraphFont"/>
    <w:uiPriority w:val="99"/>
    <w:semiHidden/>
    <w:unhideWhenUsed/>
    <w:rsid w:val="006A135E"/>
  </w:style>
  <w:style w:type="paragraph" w:styleId="TOC1">
    <w:name w:val="toc 1"/>
    <w:basedOn w:val="Normal"/>
    <w:next w:val="Normal"/>
    <w:autoRedefine/>
    <w:uiPriority w:val="39"/>
    <w:unhideWhenUsed/>
    <w:rsid w:val="00F866C0"/>
    <w:pPr>
      <w:spacing w:before="120"/>
    </w:pPr>
    <w:rPr>
      <w:rFonts w:asciiTheme="minorHAnsi" w:hAnsiTheme="minorHAnsi"/>
      <w:b/>
      <w:bCs/>
      <w:i/>
      <w:iCs/>
    </w:rPr>
  </w:style>
  <w:style w:type="paragraph" w:styleId="TOC2">
    <w:name w:val="toc 2"/>
    <w:basedOn w:val="Normal"/>
    <w:next w:val="Normal"/>
    <w:autoRedefine/>
    <w:uiPriority w:val="39"/>
    <w:unhideWhenUsed/>
    <w:rsid w:val="00F866C0"/>
    <w:pPr>
      <w:spacing w:before="120"/>
      <w:ind w:left="220"/>
    </w:pPr>
    <w:rPr>
      <w:rFonts w:asciiTheme="minorHAnsi" w:hAnsiTheme="minorHAnsi"/>
      <w:b/>
      <w:bCs/>
    </w:rPr>
  </w:style>
  <w:style w:type="paragraph" w:styleId="TOC3">
    <w:name w:val="toc 3"/>
    <w:basedOn w:val="Normal"/>
    <w:next w:val="Normal"/>
    <w:autoRedefine/>
    <w:uiPriority w:val="39"/>
    <w:unhideWhenUsed/>
    <w:rsid w:val="00F866C0"/>
    <w:pPr>
      <w:ind w:left="440"/>
    </w:pPr>
    <w:rPr>
      <w:rFonts w:asciiTheme="minorHAnsi" w:hAnsiTheme="minorHAnsi"/>
      <w:sz w:val="20"/>
      <w:szCs w:val="20"/>
    </w:rPr>
  </w:style>
  <w:style w:type="character" w:styleId="Hyperlink">
    <w:name w:val="Hyperlink"/>
    <w:uiPriority w:val="99"/>
    <w:unhideWhenUsed/>
    <w:rsid w:val="00F866C0"/>
    <w:rPr>
      <w:color w:val="5F5F5F"/>
      <w:u w:val="single"/>
    </w:rPr>
  </w:style>
  <w:style w:type="table" w:styleId="TableGrid">
    <w:name w:val="Table Grid"/>
    <w:basedOn w:val="TableNormal"/>
    <w:uiPriority w:val="39"/>
    <w:rsid w:val="0018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80F3A"/>
    <w:tblPr>
      <w:tblStyleRowBandSize w:val="1"/>
      <w:tblStyleColBandSize w:val="1"/>
      <w:tblBorders>
        <w:top w:val="single" w:sz="4" w:space="0" w:color="E5B573"/>
        <w:left w:val="single" w:sz="4" w:space="0" w:color="E5B573"/>
        <w:bottom w:val="single" w:sz="4" w:space="0" w:color="E5B573"/>
        <w:right w:val="single" w:sz="4" w:space="0" w:color="E5B573"/>
        <w:insideH w:val="single" w:sz="4" w:space="0" w:color="E5B573"/>
        <w:insideV w:val="single" w:sz="4" w:space="0" w:color="E5B573"/>
      </w:tblBorders>
    </w:tblPr>
    <w:tblStylePr w:type="firstRow">
      <w:rPr>
        <w:b/>
        <w:bCs/>
        <w:color w:val="FFFFFF"/>
      </w:rPr>
      <w:tblPr/>
      <w:tcPr>
        <w:tcBorders>
          <w:top w:val="single" w:sz="4" w:space="0" w:color="C78224"/>
          <w:left w:val="single" w:sz="4" w:space="0" w:color="C78224"/>
          <w:bottom w:val="single" w:sz="4" w:space="0" w:color="C78224"/>
          <w:right w:val="single" w:sz="4" w:space="0" w:color="C78224"/>
          <w:insideH w:val="nil"/>
          <w:insideV w:val="nil"/>
        </w:tcBorders>
        <w:shd w:val="clear" w:color="auto" w:fill="C78224"/>
      </w:tcPr>
    </w:tblStylePr>
    <w:tblStylePr w:type="lastRow">
      <w:rPr>
        <w:b/>
        <w:bCs/>
      </w:rPr>
      <w:tblPr/>
      <w:tcPr>
        <w:tcBorders>
          <w:top w:val="double" w:sz="4" w:space="0" w:color="C78224"/>
        </w:tcBorders>
      </w:tcPr>
    </w:tblStylePr>
    <w:tblStylePr w:type="firstCol">
      <w:rPr>
        <w:b/>
        <w:bCs/>
      </w:rPr>
    </w:tblStylePr>
    <w:tblStylePr w:type="lastCol">
      <w:rPr>
        <w:b/>
        <w:bCs/>
      </w:rPr>
    </w:tblStylePr>
    <w:tblStylePr w:type="band1Vert">
      <w:tblPr/>
      <w:tcPr>
        <w:shd w:val="clear" w:color="auto" w:fill="F6E6D0"/>
      </w:tcPr>
    </w:tblStylePr>
    <w:tblStylePr w:type="band1Horz">
      <w:tblPr/>
      <w:tcPr>
        <w:shd w:val="clear" w:color="auto" w:fill="F6E6D0"/>
      </w:tcPr>
    </w:tblStylePr>
  </w:style>
  <w:style w:type="table" w:styleId="GridTable4-Accent4">
    <w:name w:val="Grid Table 4 Accent 4"/>
    <w:basedOn w:val="TableNormal"/>
    <w:uiPriority w:val="49"/>
    <w:rsid w:val="00180F3A"/>
    <w:tblPr>
      <w:tblStyleRowBandSize w:val="1"/>
      <w:tblStyleColBandSize w:val="1"/>
      <w:tblBorders>
        <w:top w:val="single" w:sz="4" w:space="0" w:color="B1C78C"/>
        <w:left w:val="single" w:sz="4" w:space="0" w:color="B1C78C"/>
        <w:bottom w:val="single" w:sz="4" w:space="0" w:color="B1C78C"/>
        <w:right w:val="single" w:sz="4" w:space="0" w:color="B1C78C"/>
        <w:insideH w:val="single" w:sz="4" w:space="0" w:color="B1C78C"/>
        <w:insideV w:val="single" w:sz="4" w:space="0" w:color="B1C78C"/>
      </w:tblBorders>
    </w:tblPr>
    <w:tblStylePr w:type="firstRow">
      <w:rPr>
        <w:b/>
        <w:bCs/>
        <w:color w:val="FFFFFF"/>
      </w:rPr>
      <w:tblPr/>
      <w:tcPr>
        <w:tcBorders>
          <w:top w:val="single" w:sz="4" w:space="0" w:color="7C984A"/>
          <w:left w:val="single" w:sz="4" w:space="0" w:color="7C984A"/>
          <w:bottom w:val="single" w:sz="4" w:space="0" w:color="7C984A"/>
          <w:right w:val="single" w:sz="4" w:space="0" w:color="7C984A"/>
          <w:insideH w:val="nil"/>
          <w:insideV w:val="nil"/>
        </w:tcBorders>
        <w:shd w:val="clear" w:color="auto" w:fill="7C984A"/>
      </w:tcPr>
    </w:tblStylePr>
    <w:tblStylePr w:type="lastRow">
      <w:rPr>
        <w:b/>
        <w:bCs/>
      </w:rPr>
      <w:tblPr/>
      <w:tcPr>
        <w:tcBorders>
          <w:top w:val="double" w:sz="4" w:space="0" w:color="7C984A"/>
        </w:tcBorders>
      </w:tcPr>
    </w:tblStylePr>
    <w:tblStylePr w:type="firstCol">
      <w:rPr>
        <w:b/>
        <w:bCs/>
      </w:rPr>
    </w:tblStylePr>
    <w:tblStylePr w:type="lastCol">
      <w:rPr>
        <w:b/>
        <w:bCs/>
      </w:rPr>
    </w:tblStylePr>
    <w:tblStylePr w:type="band1Vert">
      <w:tblPr/>
      <w:tcPr>
        <w:shd w:val="clear" w:color="auto" w:fill="E5ECD8"/>
      </w:tcPr>
    </w:tblStylePr>
    <w:tblStylePr w:type="band1Horz">
      <w:tblPr/>
      <w:tcPr>
        <w:shd w:val="clear" w:color="auto" w:fill="E5ECD8"/>
      </w:tcPr>
    </w:tblStylePr>
  </w:style>
  <w:style w:type="table" w:styleId="GridTable4-Accent5">
    <w:name w:val="Grid Table 4 Accent 5"/>
    <w:basedOn w:val="TableNormal"/>
    <w:uiPriority w:val="49"/>
    <w:rsid w:val="00180F3A"/>
    <w:tblPr>
      <w:tblStyleRowBandSize w:val="1"/>
      <w:tblStyleColBandSize w:val="1"/>
      <w:tblBorders>
        <w:top w:val="single" w:sz="4" w:space="0" w:color="DACDBA"/>
        <w:left w:val="single" w:sz="4" w:space="0" w:color="DACDBA"/>
        <w:bottom w:val="single" w:sz="4" w:space="0" w:color="DACDBA"/>
        <w:right w:val="single" w:sz="4" w:space="0" w:color="DACDBA"/>
        <w:insideH w:val="single" w:sz="4" w:space="0" w:color="DACDBA"/>
        <w:insideV w:val="single" w:sz="4" w:space="0" w:color="DACDBA"/>
      </w:tblBorders>
    </w:tblPr>
    <w:tblStylePr w:type="firstRow">
      <w:rPr>
        <w:b/>
        <w:bCs/>
        <w:color w:val="FFFFFF"/>
      </w:rPr>
      <w:tblPr/>
      <w:tcPr>
        <w:tcBorders>
          <w:top w:val="single" w:sz="4" w:space="0" w:color="C2AD8D"/>
          <w:left w:val="single" w:sz="4" w:space="0" w:color="C2AD8D"/>
          <w:bottom w:val="single" w:sz="4" w:space="0" w:color="C2AD8D"/>
          <w:right w:val="single" w:sz="4" w:space="0" w:color="C2AD8D"/>
          <w:insideH w:val="nil"/>
          <w:insideV w:val="nil"/>
        </w:tcBorders>
        <w:shd w:val="clear" w:color="auto" w:fill="C2AD8D"/>
      </w:tcPr>
    </w:tblStylePr>
    <w:tblStylePr w:type="lastRow">
      <w:rPr>
        <w:b/>
        <w:bCs/>
      </w:rPr>
      <w:tblPr/>
      <w:tcPr>
        <w:tcBorders>
          <w:top w:val="double" w:sz="4" w:space="0" w:color="C2AD8D"/>
        </w:tcBorders>
      </w:tcPr>
    </w:tblStylePr>
    <w:tblStylePr w:type="firstCol">
      <w:rPr>
        <w:b/>
        <w:bCs/>
      </w:rPr>
    </w:tblStylePr>
    <w:tblStylePr w:type="lastCol">
      <w:rPr>
        <w:b/>
        <w:bCs/>
      </w:rPr>
    </w:tblStylePr>
    <w:tblStylePr w:type="band1Vert">
      <w:tblPr/>
      <w:tcPr>
        <w:shd w:val="clear" w:color="auto" w:fill="F2EEE8"/>
      </w:tcPr>
    </w:tblStylePr>
    <w:tblStylePr w:type="band1Horz">
      <w:tblPr/>
      <w:tcPr>
        <w:shd w:val="clear" w:color="auto" w:fill="F2EEE8"/>
      </w:tcPr>
    </w:tblStylePr>
  </w:style>
  <w:style w:type="table" w:styleId="GridTable4-Accent3">
    <w:name w:val="Grid Table 4 Accent 3"/>
    <w:basedOn w:val="TableNormal"/>
    <w:uiPriority w:val="49"/>
    <w:rsid w:val="00180F3A"/>
    <w:tblPr>
      <w:tblStyleRowBandSize w:val="1"/>
      <w:tblStyleColBandSize w:val="1"/>
      <w:tblBorders>
        <w:top w:val="single" w:sz="4" w:space="0" w:color="A8E0EA"/>
        <w:left w:val="single" w:sz="4" w:space="0" w:color="A8E0EA"/>
        <w:bottom w:val="single" w:sz="4" w:space="0" w:color="A8E0EA"/>
        <w:right w:val="single" w:sz="4" w:space="0" w:color="A8E0EA"/>
        <w:insideH w:val="single" w:sz="4" w:space="0" w:color="A8E0EA"/>
        <w:insideV w:val="single" w:sz="4" w:space="0" w:color="A8E0EA"/>
      </w:tblBorders>
    </w:tblPr>
    <w:tblStylePr w:type="firstRow">
      <w:rPr>
        <w:b/>
        <w:bCs/>
        <w:color w:val="FFFFFF"/>
      </w:rPr>
      <w:tblPr/>
      <w:tcPr>
        <w:tcBorders>
          <w:top w:val="single" w:sz="4" w:space="0" w:color="6ECDDC"/>
          <w:left w:val="single" w:sz="4" w:space="0" w:color="6ECDDC"/>
          <w:bottom w:val="single" w:sz="4" w:space="0" w:color="6ECDDC"/>
          <w:right w:val="single" w:sz="4" w:space="0" w:color="6ECDDC"/>
          <w:insideH w:val="nil"/>
          <w:insideV w:val="nil"/>
        </w:tcBorders>
        <w:shd w:val="clear" w:color="auto" w:fill="6ECDDC"/>
      </w:tcPr>
    </w:tblStylePr>
    <w:tblStylePr w:type="lastRow">
      <w:rPr>
        <w:b/>
        <w:bCs/>
      </w:rPr>
      <w:tblPr/>
      <w:tcPr>
        <w:tcBorders>
          <w:top w:val="double" w:sz="4" w:space="0" w:color="6ECDDC"/>
        </w:tcBorders>
      </w:tcPr>
    </w:tblStylePr>
    <w:tblStylePr w:type="firstCol">
      <w:rPr>
        <w:b/>
        <w:bCs/>
      </w:rPr>
    </w:tblStylePr>
    <w:tblStylePr w:type="lastCol">
      <w:rPr>
        <w:b/>
        <w:bCs/>
      </w:rPr>
    </w:tblStylePr>
    <w:tblStylePr w:type="band1Vert">
      <w:tblPr/>
      <w:tcPr>
        <w:shd w:val="clear" w:color="auto" w:fill="E2F4F8"/>
      </w:tcPr>
    </w:tblStylePr>
    <w:tblStylePr w:type="band1Horz">
      <w:tblPr/>
      <w:tcPr>
        <w:shd w:val="clear" w:color="auto" w:fill="E2F4F8"/>
      </w:tcPr>
    </w:tblStylePr>
  </w:style>
  <w:style w:type="table" w:styleId="GridTable4-Accent6">
    <w:name w:val="Grid Table 4 Accent 6"/>
    <w:basedOn w:val="TableNormal"/>
    <w:uiPriority w:val="49"/>
    <w:rsid w:val="00180F3A"/>
    <w:tblPr>
      <w:tblStyleRowBandSize w:val="1"/>
      <w:tblStyleColBandSize w:val="1"/>
      <w:tblBorders>
        <w:top w:val="single" w:sz="4" w:space="0" w:color="91A7C3"/>
        <w:left w:val="single" w:sz="4" w:space="0" w:color="91A7C3"/>
        <w:bottom w:val="single" w:sz="4" w:space="0" w:color="91A7C3"/>
        <w:right w:val="single" w:sz="4" w:space="0" w:color="91A7C3"/>
        <w:insideH w:val="single" w:sz="4" w:space="0" w:color="91A7C3"/>
        <w:insideV w:val="single" w:sz="4" w:space="0" w:color="91A7C3"/>
      </w:tblBorders>
    </w:tblPr>
    <w:tblStylePr w:type="firstRow">
      <w:rPr>
        <w:b/>
        <w:bCs/>
        <w:color w:val="FFFFFF"/>
      </w:rPr>
      <w:tblPr/>
      <w:tcPr>
        <w:tcBorders>
          <w:top w:val="single" w:sz="4" w:space="0" w:color="506E94"/>
          <w:left w:val="single" w:sz="4" w:space="0" w:color="506E94"/>
          <w:bottom w:val="single" w:sz="4" w:space="0" w:color="506E94"/>
          <w:right w:val="single" w:sz="4" w:space="0" w:color="506E94"/>
          <w:insideH w:val="nil"/>
          <w:insideV w:val="nil"/>
        </w:tcBorders>
        <w:shd w:val="clear" w:color="auto" w:fill="506E94"/>
      </w:tcPr>
    </w:tblStylePr>
    <w:tblStylePr w:type="lastRow">
      <w:rPr>
        <w:b/>
        <w:bCs/>
      </w:rPr>
      <w:tblPr/>
      <w:tcPr>
        <w:tcBorders>
          <w:top w:val="double" w:sz="4" w:space="0" w:color="506E94"/>
        </w:tcBorders>
      </w:tcPr>
    </w:tblStylePr>
    <w:tblStylePr w:type="firstCol">
      <w:rPr>
        <w:b/>
        <w:bCs/>
      </w:rPr>
    </w:tblStylePr>
    <w:tblStylePr w:type="lastCol">
      <w:rPr>
        <w:b/>
        <w:bCs/>
      </w:rPr>
    </w:tblStylePr>
    <w:tblStylePr w:type="band1Vert">
      <w:tblPr/>
      <w:tcPr>
        <w:shd w:val="clear" w:color="auto" w:fill="DAE1EB"/>
      </w:tcPr>
    </w:tblStylePr>
    <w:tblStylePr w:type="band1Horz">
      <w:tblPr/>
      <w:tcPr>
        <w:shd w:val="clear" w:color="auto" w:fill="DAE1EB"/>
      </w:tcPr>
    </w:tblStylePr>
  </w:style>
  <w:style w:type="table" w:styleId="GridTable5Dark-Accent1">
    <w:name w:val="Grid Table 5 Dark Accent 1"/>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4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97B7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97B7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97B7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97B7E"/>
      </w:tcPr>
    </w:tblStylePr>
    <w:tblStylePr w:type="band1Vert">
      <w:tblPr/>
      <w:tcPr>
        <w:shd w:val="clear" w:color="auto" w:fill="C9CACB"/>
      </w:tcPr>
    </w:tblStylePr>
    <w:tblStylePr w:type="band1Horz">
      <w:tblPr/>
      <w:tcPr>
        <w:shd w:val="clear" w:color="auto" w:fill="C9CACB"/>
      </w:tcPr>
    </w:tblStylePr>
  </w:style>
  <w:style w:type="table" w:styleId="GridTable5Dark-Accent2">
    <w:name w:val="Grid Table 5 Dark Accent 2"/>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E6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78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78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78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78224"/>
      </w:tcPr>
    </w:tblStylePr>
    <w:tblStylePr w:type="band1Vert">
      <w:tblPr/>
      <w:tcPr>
        <w:shd w:val="clear" w:color="auto" w:fill="EECDA1"/>
      </w:tcPr>
    </w:tblStylePr>
    <w:tblStylePr w:type="band1Horz">
      <w:tblPr/>
      <w:tcPr>
        <w:shd w:val="clear" w:color="auto" w:fill="EECDA1"/>
      </w:tcPr>
    </w:tblStylePr>
  </w:style>
  <w:style w:type="table" w:styleId="GridTable5Dark-Accent3">
    <w:name w:val="Grid Table 5 Dark Accent 3"/>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F4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DD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DD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DD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DDC"/>
      </w:tcPr>
    </w:tblStylePr>
    <w:tblStylePr w:type="band1Vert">
      <w:tblPr/>
      <w:tcPr>
        <w:shd w:val="clear" w:color="auto" w:fill="C5EAF1"/>
      </w:tcPr>
    </w:tblStylePr>
    <w:tblStylePr w:type="band1Horz">
      <w:tblPr/>
      <w:tcPr>
        <w:shd w:val="clear" w:color="auto" w:fill="C5EAF1"/>
      </w:tcPr>
    </w:tblStylePr>
  </w:style>
  <w:style w:type="table" w:styleId="GridTable5Dark-Accent4">
    <w:name w:val="Grid Table 5 Dark Accent 4"/>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ECD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C984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C984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C984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C984A"/>
      </w:tcPr>
    </w:tblStylePr>
    <w:tblStylePr w:type="band1Vert">
      <w:tblPr/>
      <w:tcPr>
        <w:shd w:val="clear" w:color="auto" w:fill="CBD9B2"/>
      </w:tcPr>
    </w:tblStylePr>
    <w:tblStylePr w:type="band1Horz">
      <w:tblPr/>
      <w:tcPr>
        <w:shd w:val="clear" w:color="auto" w:fill="CBD9B2"/>
      </w:tcPr>
    </w:tblStylePr>
  </w:style>
  <w:style w:type="paragraph" w:styleId="BalloonText">
    <w:name w:val="Balloon Text"/>
    <w:basedOn w:val="Normal"/>
    <w:link w:val="BalloonTextChar"/>
    <w:uiPriority w:val="99"/>
    <w:semiHidden/>
    <w:unhideWhenUsed/>
    <w:rsid w:val="00BC6C26"/>
    <w:rPr>
      <w:sz w:val="18"/>
      <w:szCs w:val="18"/>
    </w:rPr>
  </w:style>
  <w:style w:type="character" w:customStyle="1" w:styleId="BalloonTextChar">
    <w:name w:val="Balloon Text Char"/>
    <w:basedOn w:val="DefaultParagraphFont"/>
    <w:link w:val="BalloonText"/>
    <w:uiPriority w:val="99"/>
    <w:semiHidden/>
    <w:rsid w:val="00BC6C26"/>
    <w:rPr>
      <w:rFonts w:ascii="Times New Roman" w:hAnsi="Times New Roman"/>
      <w:sz w:val="18"/>
      <w:szCs w:val="18"/>
    </w:rPr>
  </w:style>
  <w:style w:type="character" w:styleId="CommentReference">
    <w:name w:val="annotation reference"/>
    <w:basedOn w:val="DefaultParagraphFont"/>
    <w:uiPriority w:val="99"/>
    <w:semiHidden/>
    <w:unhideWhenUsed/>
    <w:rsid w:val="00BC6C26"/>
    <w:rPr>
      <w:sz w:val="16"/>
      <w:szCs w:val="16"/>
    </w:rPr>
  </w:style>
  <w:style w:type="paragraph" w:styleId="CommentText">
    <w:name w:val="annotation text"/>
    <w:basedOn w:val="Normal"/>
    <w:link w:val="CommentTextChar"/>
    <w:uiPriority w:val="99"/>
    <w:unhideWhenUsed/>
    <w:rsid w:val="00BC6C26"/>
    <w:rPr>
      <w:sz w:val="20"/>
    </w:rPr>
  </w:style>
  <w:style w:type="character" w:customStyle="1" w:styleId="CommentTextChar">
    <w:name w:val="Comment Text Char"/>
    <w:basedOn w:val="DefaultParagraphFont"/>
    <w:link w:val="CommentText"/>
    <w:uiPriority w:val="99"/>
    <w:rsid w:val="00BC6C26"/>
    <w:rPr>
      <w:rFonts w:ascii="Helvetica" w:hAnsi="Helvetica" w:cs="Times New Roman (Body CS)"/>
    </w:rPr>
  </w:style>
  <w:style w:type="paragraph" w:styleId="BodyText">
    <w:name w:val="Body Text"/>
    <w:basedOn w:val="Normal"/>
    <w:link w:val="BodyTextChar"/>
    <w:uiPriority w:val="1"/>
    <w:qFormat/>
    <w:rsid w:val="00BC6C26"/>
    <w:pPr>
      <w:widowControl w:val="0"/>
      <w:ind w:left="855"/>
    </w:pPr>
    <w:rPr>
      <w:rFonts w:cstheme="minorBidi"/>
      <w:sz w:val="23"/>
      <w:szCs w:val="23"/>
    </w:rPr>
  </w:style>
  <w:style w:type="character" w:customStyle="1" w:styleId="BodyTextChar">
    <w:name w:val="Body Text Char"/>
    <w:basedOn w:val="DefaultParagraphFont"/>
    <w:link w:val="BodyText"/>
    <w:uiPriority w:val="1"/>
    <w:rsid w:val="00BC6C26"/>
    <w:rPr>
      <w:rFonts w:ascii="Times New Roman" w:eastAsia="Times New Roman" w:hAnsi="Times New Roman" w:cstheme="minorBidi"/>
      <w:sz w:val="23"/>
      <w:szCs w:val="23"/>
    </w:rPr>
  </w:style>
  <w:style w:type="character" w:customStyle="1" w:styleId="normaltextrun">
    <w:name w:val="normaltextrun"/>
    <w:basedOn w:val="DefaultParagraphFont"/>
    <w:rsid w:val="00BC6C26"/>
  </w:style>
  <w:style w:type="paragraph" w:customStyle="1" w:styleId="paragraph">
    <w:name w:val="paragraph"/>
    <w:basedOn w:val="Normal"/>
    <w:rsid w:val="00BC6C26"/>
    <w:pPr>
      <w:spacing w:before="100" w:beforeAutospacing="1" w:after="100" w:afterAutospacing="1"/>
    </w:pPr>
  </w:style>
  <w:style w:type="character" w:customStyle="1" w:styleId="eop">
    <w:name w:val="eop"/>
    <w:basedOn w:val="DefaultParagraphFont"/>
    <w:rsid w:val="00BC6C26"/>
  </w:style>
  <w:style w:type="paragraph" w:styleId="FootnoteText">
    <w:name w:val="footnote text"/>
    <w:basedOn w:val="Normal"/>
    <w:link w:val="FootnoteTextChar"/>
    <w:uiPriority w:val="99"/>
    <w:unhideWhenUsed/>
    <w:rsid w:val="00BC6C26"/>
    <w:rPr>
      <w:sz w:val="20"/>
    </w:rPr>
  </w:style>
  <w:style w:type="character" w:customStyle="1" w:styleId="FootnoteTextChar">
    <w:name w:val="Footnote Text Char"/>
    <w:basedOn w:val="DefaultParagraphFont"/>
    <w:link w:val="FootnoteText"/>
    <w:uiPriority w:val="99"/>
    <w:rsid w:val="00BC6C26"/>
    <w:rPr>
      <w:rFonts w:ascii="Helvetica" w:hAnsi="Helvetica" w:cs="Times New Roman (Body CS)"/>
    </w:rPr>
  </w:style>
  <w:style w:type="character" w:styleId="FootnoteReference">
    <w:name w:val="footnote reference"/>
    <w:basedOn w:val="DefaultParagraphFont"/>
    <w:uiPriority w:val="99"/>
    <w:unhideWhenUsed/>
    <w:rsid w:val="00BC6C26"/>
    <w:rPr>
      <w:vertAlign w:val="superscript"/>
    </w:rPr>
  </w:style>
  <w:style w:type="table" w:styleId="GridTable4-Accent1">
    <w:name w:val="Grid Table 4 Accent 1"/>
    <w:basedOn w:val="TableNormal"/>
    <w:uiPriority w:val="49"/>
    <w:rsid w:val="00BC6C26"/>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styleId="CommentSubject">
    <w:name w:val="annotation subject"/>
    <w:basedOn w:val="CommentText"/>
    <w:next w:val="CommentText"/>
    <w:link w:val="CommentSubjectChar"/>
    <w:uiPriority w:val="99"/>
    <w:semiHidden/>
    <w:unhideWhenUsed/>
    <w:rsid w:val="00BC6C26"/>
    <w:rPr>
      <w:b/>
      <w:bCs/>
    </w:rPr>
  </w:style>
  <w:style w:type="character" w:customStyle="1" w:styleId="CommentSubjectChar">
    <w:name w:val="Comment Subject Char"/>
    <w:basedOn w:val="CommentTextChar"/>
    <w:link w:val="CommentSubject"/>
    <w:uiPriority w:val="99"/>
    <w:semiHidden/>
    <w:rsid w:val="00BC6C26"/>
    <w:rPr>
      <w:rFonts w:ascii="Helvetica" w:hAnsi="Helvetica" w:cs="Times New Roman (Body CS)"/>
      <w:b/>
      <w:bCs/>
    </w:rPr>
  </w:style>
  <w:style w:type="paragraph" w:customStyle="1" w:styleId="PersonalName">
    <w:name w:val="Personal Name"/>
    <w:basedOn w:val="Title"/>
    <w:rsid w:val="0071177A"/>
    <w:rPr>
      <w:b/>
      <w:caps/>
      <w:color w:val="000000"/>
      <w:sz w:val="28"/>
      <w:szCs w:val="28"/>
    </w:rPr>
  </w:style>
  <w:style w:type="paragraph" w:styleId="TOC4">
    <w:name w:val="toc 4"/>
    <w:basedOn w:val="Normal"/>
    <w:next w:val="Normal"/>
    <w:autoRedefine/>
    <w:uiPriority w:val="39"/>
    <w:unhideWhenUsed/>
    <w:rsid w:val="006A133F"/>
    <w:pPr>
      <w:ind w:left="660"/>
    </w:pPr>
    <w:rPr>
      <w:rFonts w:asciiTheme="minorHAnsi" w:hAnsiTheme="minorHAnsi"/>
      <w:sz w:val="20"/>
      <w:szCs w:val="20"/>
    </w:rPr>
  </w:style>
  <w:style w:type="paragraph" w:styleId="TOC5">
    <w:name w:val="toc 5"/>
    <w:basedOn w:val="Normal"/>
    <w:next w:val="Normal"/>
    <w:autoRedefine/>
    <w:uiPriority w:val="39"/>
    <w:unhideWhenUsed/>
    <w:rsid w:val="006A133F"/>
    <w:pPr>
      <w:ind w:left="880"/>
    </w:pPr>
    <w:rPr>
      <w:rFonts w:asciiTheme="minorHAnsi" w:hAnsiTheme="minorHAnsi"/>
      <w:sz w:val="20"/>
      <w:szCs w:val="20"/>
    </w:rPr>
  </w:style>
  <w:style w:type="paragraph" w:styleId="TOC6">
    <w:name w:val="toc 6"/>
    <w:basedOn w:val="Normal"/>
    <w:next w:val="Normal"/>
    <w:autoRedefine/>
    <w:uiPriority w:val="39"/>
    <w:unhideWhenUsed/>
    <w:rsid w:val="006A133F"/>
    <w:pPr>
      <w:ind w:left="1100"/>
    </w:pPr>
    <w:rPr>
      <w:rFonts w:asciiTheme="minorHAnsi" w:hAnsiTheme="minorHAnsi"/>
      <w:sz w:val="20"/>
      <w:szCs w:val="20"/>
    </w:rPr>
  </w:style>
  <w:style w:type="paragraph" w:styleId="TOC7">
    <w:name w:val="toc 7"/>
    <w:basedOn w:val="Normal"/>
    <w:next w:val="Normal"/>
    <w:autoRedefine/>
    <w:uiPriority w:val="39"/>
    <w:unhideWhenUsed/>
    <w:rsid w:val="006A133F"/>
    <w:pPr>
      <w:ind w:left="1320"/>
    </w:pPr>
    <w:rPr>
      <w:rFonts w:asciiTheme="minorHAnsi" w:hAnsiTheme="minorHAnsi"/>
      <w:sz w:val="20"/>
      <w:szCs w:val="20"/>
    </w:rPr>
  </w:style>
  <w:style w:type="paragraph" w:styleId="TOC8">
    <w:name w:val="toc 8"/>
    <w:basedOn w:val="Normal"/>
    <w:next w:val="Normal"/>
    <w:autoRedefine/>
    <w:uiPriority w:val="39"/>
    <w:unhideWhenUsed/>
    <w:rsid w:val="006A133F"/>
    <w:pPr>
      <w:ind w:left="1540"/>
    </w:pPr>
    <w:rPr>
      <w:rFonts w:asciiTheme="minorHAnsi" w:hAnsiTheme="minorHAnsi"/>
      <w:sz w:val="20"/>
      <w:szCs w:val="20"/>
    </w:rPr>
  </w:style>
  <w:style w:type="paragraph" w:styleId="TOC9">
    <w:name w:val="toc 9"/>
    <w:basedOn w:val="Normal"/>
    <w:next w:val="Normal"/>
    <w:autoRedefine/>
    <w:uiPriority w:val="39"/>
    <w:unhideWhenUsed/>
    <w:rsid w:val="006A133F"/>
    <w:pPr>
      <w:ind w:left="1760"/>
    </w:pPr>
    <w:rPr>
      <w:rFonts w:asciiTheme="minorHAnsi" w:hAnsiTheme="minorHAnsi"/>
      <w:sz w:val="20"/>
      <w:szCs w:val="20"/>
    </w:rPr>
  </w:style>
  <w:style w:type="character" w:styleId="FollowedHyperlink">
    <w:name w:val="FollowedHyperlink"/>
    <w:basedOn w:val="DefaultParagraphFont"/>
    <w:uiPriority w:val="99"/>
    <w:semiHidden/>
    <w:unhideWhenUsed/>
    <w:rsid w:val="00483991"/>
    <w:rPr>
      <w:color w:val="85DFD0" w:themeColor="followedHyperlink"/>
      <w:u w:val="single"/>
    </w:rPr>
  </w:style>
  <w:style w:type="table" w:styleId="GridTable1Light-Accent3">
    <w:name w:val="Grid Table 1 Light Accent 3"/>
    <w:basedOn w:val="TableNormal"/>
    <w:uiPriority w:val="46"/>
    <w:rsid w:val="00481FAF"/>
    <w:pPr>
      <w:spacing w:after="0" w:line="240" w:lineRule="auto"/>
    </w:pPr>
    <w:rPr>
      <w:rFonts w:ascii="Cambria" w:eastAsia="MS Mincho" w:hAnsi="Cambria" w:cs="Times New Roman"/>
      <w:sz w:val="20"/>
      <w:szCs w:val="20"/>
    </w:rPr>
    <w:tblPr>
      <w:tblStyleRowBandSize w:val="1"/>
      <w:tblStyleColBandSize w:val="1"/>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table" w:styleId="PlainTable1">
    <w:name w:val="Plain Table 1"/>
    <w:basedOn w:val="TableNormal"/>
    <w:uiPriority w:val="41"/>
    <w:rsid w:val="004850A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91195"/>
    <w:pPr>
      <w:spacing w:after="0" w:line="240" w:lineRule="auto"/>
    </w:pPr>
  </w:style>
  <w:style w:type="character" w:styleId="UnresolvedMention">
    <w:name w:val="Unresolved Mention"/>
    <w:basedOn w:val="DefaultParagraphFont"/>
    <w:uiPriority w:val="99"/>
    <w:rsid w:val="00343CC4"/>
    <w:rPr>
      <w:color w:val="605E5C"/>
      <w:shd w:val="clear" w:color="auto" w:fill="E1DFDD"/>
    </w:rPr>
  </w:style>
  <w:style w:type="paragraph" w:customStyle="1" w:styleId="Default">
    <w:name w:val="Default"/>
    <w:rsid w:val="0003027D"/>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highlight">
    <w:name w:val="highlight"/>
    <w:basedOn w:val="DefaultParagraphFont"/>
    <w:rsid w:val="0049050F"/>
  </w:style>
  <w:style w:type="table" w:styleId="GridTable2-Accent1">
    <w:name w:val="Grid Table 2 Accent 1"/>
    <w:basedOn w:val="TableNormal"/>
    <w:uiPriority w:val="47"/>
    <w:rsid w:val="001B04C0"/>
    <w:pPr>
      <w:spacing w:after="0" w:line="240" w:lineRule="auto"/>
    </w:p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styleId="NormalWeb">
    <w:name w:val="Normal (Web)"/>
    <w:basedOn w:val="Normal"/>
    <w:uiPriority w:val="99"/>
    <w:unhideWhenUsed/>
    <w:rsid w:val="00042BC0"/>
    <w:pPr>
      <w:spacing w:before="100" w:beforeAutospacing="1" w:after="100" w:afterAutospacing="1"/>
    </w:pPr>
  </w:style>
  <w:style w:type="character" w:styleId="EndnoteReference">
    <w:name w:val="endnote reference"/>
    <w:uiPriority w:val="99"/>
    <w:unhideWhenUsed/>
    <w:rsid w:val="00D52F78"/>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544">
      <w:bodyDiv w:val="1"/>
      <w:marLeft w:val="0"/>
      <w:marRight w:val="0"/>
      <w:marTop w:val="0"/>
      <w:marBottom w:val="0"/>
      <w:divBdr>
        <w:top w:val="none" w:sz="0" w:space="0" w:color="auto"/>
        <w:left w:val="none" w:sz="0" w:space="0" w:color="auto"/>
        <w:bottom w:val="none" w:sz="0" w:space="0" w:color="auto"/>
        <w:right w:val="none" w:sz="0" w:space="0" w:color="auto"/>
      </w:divBdr>
    </w:div>
    <w:div w:id="56898991">
      <w:bodyDiv w:val="1"/>
      <w:marLeft w:val="0"/>
      <w:marRight w:val="0"/>
      <w:marTop w:val="0"/>
      <w:marBottom w:val="0"/>
      <w:divBdr>
        <w:top w:val="none" w:sz="0" w:space="0" w:color="auto"/>
        <w:left w:val="none" w:sz="0" w:space="0" w:color="auto"/>
        <w:bottom w:val="none" w:sz="0" w:space="0" w:color="auto"/>
        <w:right w:val="none" w:sz="0" w:space="0" w:color="auto"/>
      </w:divBdr>
    </w:div>
    <w:div w:id="183322032">
      <w:bodyDiv w:val="1"/>
      <w:marLeft w:val="0"/>
      <w:marRight w:val="0"/>
      <w:marTop w:val="0"/>
      <w:marBottom w:val="0"/>
      <w:divBdr>
        <w:top w:val="none" w:sz="0" w:space="0" w:color="auto"/>
        <w:left w:val="none" w:sz="0" w:space="0" w:color="auto"/>
        <w:bottom w:val="none" w:sz="0" w:space="0" w:color="auto"/>
        <w:right w:val="none" w:sz="0" w:space="0" w:color="auto"/>
      </w:divBdr>
    </w:div>
    <w:div w:id="212275830">
      <w:bodyDiv w:val="1"/>
      <w:marLeft w:val="0"/>
      <w:marRight w:val="0"/>
      <w:marTop w:val="0"/>
      <w:marBottom w:val="0"/>
      <w:divBdr>
        <w:top w:val="none" w:sz="0" w:space="0" w:color="auto"/>
        <w:left w:val="none" w:sz="0" w:space="0" w:color="auto"/>
        <w:bottom w:val="none" w:sz="0" w:space="0" w:color="auto"/>
        <w:right w:val="none" w:sz="0" w:space="0" w:color="auto"/>
      </w:divBdr>
    </w:div>
    <w:div w:id="218441544">
      <w:bodyDiv w:val="1"/>
      <w:marLeft w:val="0"/>
      <w:marRight w:val="0"/>
      <w:marTop w:val="0"/>
      <w:marBottom w:val="0"/>
      <w:divBdr>
        <w:top w:val="none" w:sz="0" w:space="0" w:color="auto"/>
        <w:left w:val="none" w:sz="0" w:space="0" w:color="auto"/>
        <w:bottom w:val="none" w:sz="0" w:space="0" w:color="auto"/>
        <w:right w:val="none" w:sz="0" w:space="0" w:color="auto"/>
      </w:divBdr>
    </w:div>
    <w:div w:id="271011786">
      <w:bodyDiv w:val="1"/>
      <w:marLeft w:val="0"/>
      <w:marRight w:val="0"/>
      <w:marTop w:val="0"/>
      <w:marBottom w:val="0"/>
      <w:divBdr>
        <w:top w:val="none" w:sz="0" w:space="0" w:color="auto"/>
        <w:left w:val="none" w:sz="0" w:space="0" w:color="auto"/>
        <w:bottom w:val="none" w:sz="0" w:space="0" w:color="auto"/>
        <w:right w:val="none" w:sz="0" w:space="0" w:color="auto"/>
      </w:divBdr>
    </w:div>
    <w:div w:id="280234287">
      <w:bodyDiv w:val="1"/>
      <w:marLeft w:val="0"/>
      <w:marRight w:val="0"/>
      <w:marTop w:val="0"/>
      <w:marBottom w:val="0"/>
      <w:divBdr>
        <w:top w:val="none" w:sz="0" w:space="0" w:color="auto"/>
        <w:left w:val="none" w:sz="0" w:space="0" w:color="auto"/>
        <w:bottom w:val="none" w:sz="0" w:space="0" w:color="auto"/>
        <w:right w:val="none" w:sz="0" w:space="0" w:color="auto"/>
      </w:divBdr>
    </w:div>
    <w:div w:id="336999746">
      <w:bodyDiv w:val="1"/>
      <w:marLeft w:val="0"/>
      <w:marRight w:val="0"/>
      <w:marTop w:val="0"/>
      <w:marBottom w:val="0"/>
      <w:divBdr>
        <w:top w:val="none" w:sz="0" w:space="0" w:color="auto"/>
        <w:left w:val="none" w:sz="0" w:space="0" w:color="auto"/>
        <w:bottom w:val="none" w:sz="0" w:space="0" w:color="auto"/>
        <w:right w:val="none" w:sz="0" w:space="0" w:color="auto"/>
      </w:divBdr>
    </w:div>
    <w:div w:id="437991636">
      <w:bodyDiv w:val="1"/>
      <w:marLeft w:val="0"/>
      <w:marRight w:val="0"/>
      <w:marTop w:val="0"/>
      <w:marBottom w:val="0"/>
      <w:divBdr>
        <w:top w:val="none" w:sz="0" w:space="0" w:color="auto"/>
        <w:left w:val="none" w:sz="0" w:space="0" w:color="auto"/>
        <w:bottom w:val="none" w:sz="0" w:space="0" w:color="auto"/>
        <w:right w:val="none" w:sz="0" w:space="0" w:color="auto"/>
      </w:divBdr>
    </w:div>
    <w:div w:id="473182620">
      <w:bodyDiv w:val="1"/>
      <w:marLeft w:val="0"/>
      <w:marRight w:val="0"/>
      <w:marTop w:val="0"/>
      <w:marBottom w:val="0"/>
      <w:divBdr>
        <w:top w:val="none" w:sz="0" w:space="0" w:color="auto"/>
        <w:left w:val="none" w:sz="0" w:space="0" w:color="auto"/>
        <w:bottom w:val="none" w:sz="0" w:space="0" w:color="auto"/>
        <w:right w:val="none" w:sz="0" w:space="0" w:color="auto"/>
      </w:divBdr>
    </w:div>
    <w:div w:id="475294325">
      <w:bodyDiv w:val="1"/>
      <w:marLeft w:val="0"/>
      <w:marRight w:val="0"/>
      <w:marTop w:val="0"/>
      <w:marBottom w:val="0"/>
      <w:divBdr>
        <w:top w:val="none" w:sz="0" w:space="0" w:color="auto"/>
        <w:left w:val="none" w:sz="0" w:space="0" w:color="auto"/>
        <w:bottom w:val="none" w:sz="0" w:space="0" w:color="auto"/>
        <w:right w:val="none" w:sz="0" w:space="0" w:color="auto"/>
      </w:divBdr>
    </w:div>
    <w:div w:id="630868174">
      <w:bodyDiv w:val="1"/>
      <w:marLeft w:val="0"/>
      <w:marRight w:val="0"/>
      <w:marTop w:val="0"/>
      <w:marBottom w:val="0"/>
      <w:divBdr>
        <w:top w:val="none" w:sz="0" w:space="0" w:color="auto"/>
        <w:left w:val="none" w:sz="0" w:space="0" w:color="auto"/>
        <w:bottom w:val="none" w:sz="0" w:space="0" w:color="auto"/>
        <w:right w:val="none" w:sz="0" w:space="0" w:color="auto"/>
      </w:divBdr>
    </w:div>
    <w:div w:id="648872792">
      <w:bodyDiv w:val="1"/>
      <w:marLeft w:val="0"/>
      <w:marRight w:val="0"/>
      <w:marTop w:val="0"/>
      <w:marBottom w:val="0"/>
      <w:divBdr>
        <w:top w:val="none" w:sz="0" w:space="0" w:color="auto"/>
        <w:left w:val="none" w:sz="0" w:space="0" w:color="auto"/>
        <w:bottom w:val="none" w:sz="0" w:space="0" w:color="auto"/>
        <w:right w:val="none" w:sz="0" w:space="0" w:color="auto"/>
      </w:divBdr>
    </w:div>
    <w:div w:id="667293722">
      <w:bodyDiv w:val="1"/>
      <w:marLeft w:val="0"/>
      <w:marRight w:val="0"/>
      <w:marTop w:val="0"/>
      <w:marBottom w:val="0"/>
      <w:divBdr>
        <w:top w:val="none" w:sz="0" w:space="0" w:color="auto"/>
        <w:left w:val="none" w:sz="0" w:space="0" w:color="auto"/>
        <w:bottom w:val="none" w:sz="0" w:space="0" w:color="auto"/>
        <w:right w:val="none" w:sz="0" w:space="0" w:color="auto"/>
      </w:divBdr>
      <w:divsChild>
        <w:div w:id="1528450418">
          <w:marLeft w:val="0"/>
          <w:marRight w:val="0"/>
          <w:marTop w:val="0"/>
          <w:marBottom w:val="0"/>
          <w:divBdr>
            <w:top w:val="none" w:sz="0" w:space="0" w:color="auto"/>
            <w:left w:val="none" w:sz="0" w:space="0" w:color="auto"/>
            <w:bottom w:val="none" w:sz="0" w:space="0" w:color="auto"/>
            <w:right w:val="none" w:sz="0" w:space="0" w:color="auto"/>
          </w:divBdr>
          <w:divsChild>
            <w:div w:id="591621210">
              <w:marLeft w:val="0"/>
              <w:marRight w:val="0"/>
              <w:marTop w:val="0"/>
              <w:marBottom w:val="0"/>
              <w:divBdr>
                <w:top w:val="none" w:sz="0" w:space="0" w:color="auto"/>
                <w:left w:val="none" w:sz="0" w:space="0" w:color="auto"/>
                <w:bottom w:val="none" w:sz="0" w:space="0" w:color="auto"/>
                <w:right w:val="none" w:sz="0" w:space="0" w:color="auto"/>
              </w:divBdr>
            </w:div>
          </w:divsChild>
        </w:div>
        <w:div w:id="355233434">
          <w:marLeft w:val="0"/>
          <w:marRight w:val="0"/>
          <w:marTop w:val="0"/>
          <w:marBottom w:val="0"/>
          <w:divBdr>
            <w:top w:val="none" w:sz="0" w:space="0" w:color="auto"/>
            <w:left w:val="none" w:sz="0" w:space="0" w:color="auto"/>
            <w:bottom w:val="none" w:sz="0" w:space="0" w:color="auto"/>
            <w:right w:val="none" w:sz="0" w:space="0" w:color="auto"/>
          </w:divBdr>
          <w:divsChild>
            <w:div w:id="7931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1382">
      <w:bodyDiv w:val="1"/>
      <w:marLeft w:val="0"/>
      <w:marRight w:val="0"/>
      <w:marTop w:val="0"/>
      <w:marBottom w:val="0"/>
      <w:divBdr>
        <w:top w:val="none" w:sz="0" w:space="0" w:color="auto"/>
        <w:left w:val="none" w:sz="0" w:space="0" w:color="auto"/>
        <w:bottom w:val="none" w:sz="0" w:space="0" w:color="auto"/>
        <w:right w:val="none" w:sz="0" w:space="0" w:color="auto"/>
      </w:divBdr>
    </w:div>
    <w:div w:id="735668344">
      <w:bodyDiv w:val="1"/>
      <w:marLeft w:val="0"/>
      <w:marRight w:val="0"/>
      <w:marTop w:val="0"/>
      <w:marBottom w:val="0"/>
      <w:divBdr>
        <w:top w:val="none" w:sz="0" w:space="0" w:color="auto"/>
        <w:left w:val="none" w:sz="0" w:space="0" w:color="auto"/>
        <w:bottom w:val="none" w:sz="0" w:space="0" w:color="auto"/>
        <w:right w:val="none" w:sz="0" w:space="0" w:color="auto"/>
      </w:divBdr>
    </w:div>
    <w:div w:id="742996557">
      <w:bodyDiv w:val="1"/>
      <w:marLeft w:val="0"/>
      <w:marRight w:val="0"/>
      <w:marTop w:val="0"/>
      <w:marBottom w:val="0"/>
      <w:divBdr>
        <w:top w:val="none" w:sz="0" w:space="0" w:color="auto"/>
        <w:left w:val="none" w:sz="0" w:space="0" w:color="auto"/>
        <w:bottom w:val="none" w:sz="0" w:space="0" w:color="auto"/>
        <w:right w:val="none" w:sz="0" w:space="0" w:color="auto"/>
      </w:divBdr>
    </w:div>
    <w:div w:id="747729928">
      <w:bodyDiv w:val="1"/>
      <w:marLeft w:val="0"/>
      <w:marRight w:val="0"/>
      <w:marTop w:val="0"/>
      <w:marBottom w:val="0"/>
      <w:divBdr>
        <w:top w:val="none" w:sz="0" w:space="0" w:color="auto"/>
        <w:left w:val="none" w:sz="0" w:space="0" w:color="auto"/>
        <w:bottom w:val="none" w:sz="0" w:space="0" w:color="auto"/>
        <w:right w:val="none" w:sz="0" w:space="0" w:color="auto"/>
      </w:divBdr>
    </w:div>
    <w:div w:id="821313631">
      <w:bodyDiv w:val="1"/>
      <w:marLeft w:val="0"/>
      <w:marRight w:val="0"/>
      <w:marTop w:val="0"/>
      <w:marBottom w:val="0"/>
      <w:divBdr>
        <w:top w:val="none" w:sz="0" w:space="0" w:color="auto"/>
        <w:left w:val="none" w:sz="0" w:space="0" w:color="auto"/>
        <w:bottom w:val="none" w:sz="0" w:space="0" w:color="auto"/>
        <w:right w:val="none" w:sz="0" w:space="0" w:color="auto"/>
      </w:divBdr>
    </w:div>
    <w:div w:id="893201835">
      <w:bodyDiv w:val="1"/>
      <w:marLeft w:val="0"/>
      <w:marRight w:val="0"/>
      <w:marTop w:val="0"/>
      <w:marBottom w:val="0"/>
      <w:divBdr>
        <w:top w:val="none" w:sz="0" w:space="0" w:color="auto"/>
        <w:left w:val="none" w:sz="0" w:space="0" w:color="auto"/>
        <w:bottom w:val="none" w:sz="0" w:space="0" w:color="auto"/>
        <w:right w:val="none" w:sz="0" w:space="0" w:color="auto"/>
      </w:divBdr>
    </w:div>
    <w:div w:id="911738547">
      <w:bodyDiv w:val="1"/>
      <w:marLeft w:val="0"/>
      <w:marRight w:val="0"/>
      <w:marTop w:val="0"/>
      <w:marBottom w:val="0"/>
      <w:divBdr>
        <w:top w:val="none" w:sz="0" w:space="0" w:color="auto"/>
        <w:left w:val="none" w:sz="0" w:space="0" w:color="auto"/>
        <w:bottom w:val="none" w:sz="0" w:space="0" w:color="auto"/>
        <w:right w:val="none" w:sz="0" w:space="0" w:color="auto"/>
      </w:divBdr>
    </w:div>
    <w:div w:id="966744123">
      <w:bodyDiv w:val="1"/>
      <w:marLeft w:val="0"/>
      <w:marRight w:val="0"/>
      <w:marTop w:val="0"/>
      <w:marBottom w:val="0"/>
      <w:divBdr>
        <w:top w:val="none" w:sz="0" w:space="0" w:color="auto"/>
        <w:left w:val="none" w:sz="0" w:space="0" w:color="auto"/>
        <w:bottom w:val="none" w:sz="0" w:space="0" w:color="auto"/>
        <w:right w:val="none" w:sz="0" w:space="0" w:color="auto"/>
      </w:divBdr>
    </w:div>
    <w:div w:id="999962088">
      <w:bodyDiv w:val="1"/>
      <w:marLeft w:val="0"/>
      <w:marRight w:val="0"/>
      <w:marTop w:val="0"/>
      <w:marBottom w:val="0"/>
      <w:divBdr>
        <w:top w:val="none" w:sz="0" w:space="0" w:color="auto"/>
        <w:left w:val="none" w:sz="0" w:space="0" w:color="auto"/>
        <w:bottom w:val="none" w:sz="0" w:space="0" w:color="auto"/>
        <w:right w:val="none" w:sz="0" w:space="0" w:color="auto"/>
      </w:divBdr>
    </w:div>
    <w:div w:id="1030835353">
      <w:bodyDiv w:val="1"/>
      <w:marLeft w:val="0"/>
      <w:marRight w:val="0"/>
      <w:marTop w:val="0"/>
      <w:marBottom w:val="0"/>
      <w:divBdr>
        <w:top w:val="none" w:sz="0" w:space="0" w:color="auto"/>
        <w:left w:val="none" w:sz="0" w:space="0" w:color="auto"/>
        <w:bottom w:val="none" w:sz="0" w:space="0" w:color="auto"/>
        <w:right w:val="none" w:sz="0" w:space="0" w:color="auto"/>
      </w:divBdr>
    </w:div>
    <w:div w:id="1055589033">
      <w:bodyDiv w:val="1"/>
      <w:marLeft w:val="0"/>
      <w:marRight w:val="0"/>
      <w:marTop w:val="0"/>
      <w:marBottom w:val="0"/>
      <w:divBdr>
        <w:top w:val="none" w:sz="0" w:space="0" w:color="auto"/>
        <w:left w:val="none" w:sz="0" w:space="0" w:color="auto"/>
        <w:bottom w:val="none" w:sz="0" w:space="0" w:color="auto"/>
        <w:right w:val="none" w:sz="0" w:space="0" w:color="auto"/>
      </w:divBdr>
    </w:div>
    <w:div w:id="1333218476">
      <w:bodyDiv w:val="1"/>
      <w:marLeft w:val="0"/>
      <w:marRight w:val="0"/>
      <w:marTop w:val="0"/>
      <w:marBottom w:val="0"/>
      <w:divBdr>
        <w:top w:val="none" w:sz="0" w:space="0" w:color="auto"/>
        <w:left w:val="none" w:sz="0" w:space="0" w:color="auto"/>
        <w:bottom w:val="none" w:sz="0" w:space="0" w:color="auto"/>
        <w:right w:val="none" w:sz="0" w:space="0" w:color="auto"/>
      </w:divBdr>
    </w:div>
    <w:div w:id="1359086595">
      <w:bodyDiv w:val="1"/>
      <w:marLeft w:val="0"/>
      <w:marRight w:val="0"/>
      <w:marTop w:val="0"/>
      <w:marBottom w:val="0"/>
      <w:divBdr>
        <w:top w:val="none" w:sz="0" w:space="0" w:color="auto"/>
        <w:left w:val="none" w:sz="0" w:space="0" w:color="auto"/>
        <w:bottom w:val="none" w:sz="0" w:space="0" w:color="auto"/>
        <w:right w:val="none" w:sz="0" w:space="0" w:color="auto"/>
      </w:divBdr>
    </w:div>
    <w:div w:id="1361083368">
      <w:bodyDiv w:val="1"/>
      <w:marLeft w:val="0"/>
      <w:marRight w:val="0"/>
      <w:marTop w:val="0"/>
      <w:marBottom w:val="0"/>
      <w:divBdr>
        <w:top w:val="none" w:sz="0" w:space="0" w:color="auto"/>
        <w:left w:val="none" w:sz="0" w:space="0" w:color="auto"/>
        <w:bottom w:val="none" w:sz="0" w:space="0" w:color="auto"/>
        <w:right w:val="none" w:sz="0" w:space="0" w:color="auto"/>
      </w:divBdr>
    </w:div>
    <w:div w:id="1378433577">
      <w:bodyDiv w:val="1"/>
      <w:marLeft w:val="0"/>
      <w:marRight w:val="0"/>
      <w:marTop w:val="0"/>
      <w:marBottom w:val="0"/>
      <w:divBdr>
        <w:top w:val="none" w:sz="0" w:space="0" w:color="auto"/>
        <w:left w:val="none" w:sz="0" w:space="0" w:color="auto"/>
        <w:bottom w:val="none" w:sz="0" w:space="0" w:color="auto"/>
        <w:right w:val="none" w:sz="0" w:space="0" w:color="auto"/>
      </w:divBdr>
    </w:div>
    <w:div w:id="1385449101">
      <w:bodyDiv w:val="1"/>
      <w:marLeft w:val="0"/>
      <w:marRight w:val="0"/>
      <w:marTop w:val="0"/>
      <w:marBottom w:val="0"/>
      <w:divBdr>
        <w:top w:val="none" w:sz="0" w:space="0" w:color="auto"/>
        <w:left w:val="none" w:sz="0" w:space="0" w:color="auto"/>
        <w:bottom w:val="none" w:sz="0" w:space="0" w:color="auto"/>
        <w:right w:val="none" w:sz="0" w:space="0" w:color="auto"/>
      </w:divBdr>
    </w:div>
    <w:div w:id="1404915959">
      <w:bodyDiv w:val="1"/>
      <w:marLeft w:val="0"/>
      <w:marRight w:val="0"/>
      <w:marTop w:val="0"/>
      <w:marBottom w:val="0"/>
      <w:divBdr>
        <w:top w:val="none" w:sz="0" w:space="0" w:color="auto"/>
        <w:left w:val="none" w:sz="0" w:space="0" w:color="auto"/>
        <w:bottom w:val="none" w:sz="0" w:space="0" w:color="auto"/>
        <w:right w:val="none" w:sz="0" w:space="0" w:color="auto"/>
      </w:divBdr>
    </w:div>
    <w:div w:id="1428043026">
      <w:bodyDiv w:val="1"/>
      <w:marLeft w:val="0"/>
      <w:marRight w:val="0"/>
      <w:marTop w:val="0"/>
      <w:marBottom w:val="0"/>
      <w:divBdr>
        <w:top w:val="none" w:sz="0" w:space="0" w:color="auto"/>
        <w:left w:val="none" w:sz="0" w:space="0" w:color="auto"/>
        <w:bottom w:val="none" w:sz="0" w:space="0" w:color="auto"/>
        <w:right w:val="none" w:sz="0" w:space="0" w:color="auto"/>
      </w:divBdr>
    </w:div>
    <w:div w:id="1516268845">
      <w:bodyDiv w:val="1"/>
      <w:marLeft w:val="0"/>
      <w:marRight w:val="0"/>
      <w:marTop w:val="0"/>
      <w:marBottom w:val="0"/>
      <w:divBdr>
        <w:top w:val="none" w:sz="0" w:space="0" w:color="auto"/>
        <w:left w:val="none" w:sz="0" w:space="0" w:color="auto"/>
        <w:bottom w:val="none" w:sz="0" w:space="0" w:color="auto"/>
        <w:right w:val="none" w:sz="0" w:space="0" w:color="auto"/>
      </w:divBdr>
    </w:div>
    <w:div w:id="1555777003">
      <w:bodyDiv w:val="1"/>
      <w:marLeft w:val="0"/>
      <w:marRight w:val="0"/>
      <w:marTop w:val="0"/>
      <w:marBottom w:val="0"/>
      <w:divBdr>
        <w:top w:val="none" w:sz="0" w:space="0" w:color="auto"/>
        <w:left w:val="none" w:sz="0" w:space="0" w:color="auto"/>
        <w:bottom w:val="none" w:sz="0" w:space="0" w:color="auto"/>
        <w:right w:val="none" w:sz="0" w:space="0" w:color="auto"/>
      </w:divBdr>
    </w:div>
    <w:div w:id="1557081352">
      <w:bodyDiv w:val="1"/>
      <w:marLeft w:val="0"/>
      <w:marRight w:val="0"/>
      <w:marTop w:val="0"/>
      <w:marBottom w:val="0"/>
      <w:divBdr>
        <w:top w:val="none" w:sz="0" w:space="0" w:color="auto"/>
        <w:left w:val="none" w:sz="0" w:space="0" w:color="auto"/>
        <w:bottom w:val="none" w:sz="0" w:space="0" w:color="auto"/>
        <w:right w:val="none" w:sz="0" w:space="0" w:color="auto"/>
      </w:divBdr>
    </w:div>
    <w:div w:id="1610351653">
      <w:bodyDiv w:val="1"/>
      <w:marLeft w:val="0"/>
      <w:marRight w:val="0"/>
      <w:marTop w:val="0"/>
      <w:marBottom w:val="0"/>
      <w:divBdr>
        <w:top w:val="none" w:sz="0" w:space="0" w:color="auto"/>
        <w:left w:val="none" w:sz="0" w:space="0" w:color="auto"/>
        <w:bottom w:val="none" w:sz="0" w:space="0" w:color="auto"/>
        <w:right w:val="none" w:sz="0" w:space="0" w:color="auto"/>
      </w:divBdr>
    </w:div>
    <w:div w:id="1640455697">
      <w:bodyDiv w:val="1"/>
      <w:marLeft w:val="0"/>
      <w:marRight w:val="0"/>
      <w:marTop w:val="0"/>
      <w:marBottom w:val="0"/>
      <w:divBdr>
        <w:top w:val="none" w:sz="0" w:space="0" w:color="auto"/>
        <w:left w:val="none" w:sz="0" w:space="0" w:color="auto"/>
        <w:bottom w:val="none" w:sz="0" w:space="0" w:color="auto"/>
        <w:right w:val="none" w:sz="0" w:space="0" w:color="auto"/>
      </w:divBdr>
    </w:div>
    <w:div w:id="1647665354">
      <w:bodyDiv w:val="1"/>
      <w:marLeft w:val="0"/>
      <w:marRight w:val="0"/>
      <w:marTop w:val="0"/>
      <w:marBottom w:val="0"/>
      <w:divBdr>
        <w:top w:val="none" w:sz="0" w:space="0" w:color="auto"/>
        <w:left w:val="none" w:sz="0" w:space="0" w:color="auto"/>
        <w:bottom w:val="none" w:sz="0" w:space="0" w:color="auto"/>
        <w:right w:val="none" w:sz="0" w:space="0" w:color="auto"/>
      </w:divBdr>
    </w:div>
    <w:div w:id="1651013956">
      <w:bodyDiv w:val="1"/>
      <w:marLeft w:val="0"/>
      <w:marRight w:val="0"/>
      <w:marTop w:val="0"/>
      <w:marBottom w:val="0"/>
      <w:divBdr>
        <w:top w:val="none" w:sz="0" w:space="0" w:color="auto"/>
        <w:left w:val="none" w:sz="0" w:space="0" w:color="auto"/>
        <w:bottom w:val="none" w:sz="0" w:space="0" w:color="auto"/>
        <w:right w:val="none" w:sz="0" w:space="0" w:color="auto"/>
      </w:divBdr>
    </w:div>
    <w:div w:id="1703751474">
      <w:bodyDiv w:val="1"/>
      <w:marLeft w:val="0"/>
      <w:marRight w:val="0"/>
      <w:marTop w:val="0"/>
      <w:marBottom w:val="0"/>
      <w:divBdr>
        <w:top w:val="none" w:sz="0" w:space="0" w:color="auto"/>
        <w:left w:val="none" w:sz="0" w:space="0" w:color="auto"/>
        <w:bottom w:val="none" w:sz="0" w:space="0" w:color="auto"/>
        <w:right w:val="none" w:sz="0" w:space="0" w:color="auto"/>
      </w:divBdr>
    </w:div>
    <w:div w:id="1722092716">
      <w:bodyDiv w:val="1"/>
      <w:marLeft w:val="0"/>
      <w:marRight w:val="0"/>
      <w:marTop w:val="0"/>
      <w:marBottom w:val="0"/>
      <w:divBdr>
        <w:top w:val="none" w:sz="0" w:space="0" w:color="auto"/>
        <w:left w:val="none" w:sz="0" w:space="0" w:color="auto"/>
        <w:bottom w:val="none" w:sz="0" w:space="0" w:color="auto"/>
        <w:right w:val="none" w:sz="0" w:space="0" w:color="auto"/>
      </w:divBdr>
    </w:div>
    <w:div w:id="1743336912">
      <w:bodyDiv w:val="1"/>
      <w:marLeft w:val="0"/>
      <w:marRight w:val="0"/>
      <w:marTop w:val="0"/>
      <w:marBottom w:val="0"/>
      <w:divBdr>
        <w:top w:val="none" w:sz="0" w:space="0" w:color="auto"/>
        <w:left w:val="none" w:sz="0" w:space="0" w:color="auto"/>
        <w:bottom w:val="none" w:sz="0" w:space="0" w:color="auto"/>
        <w:right w:val="none" w:sz="0" w:space="0" w:color="auto"/>
      </w:divBdr>
    </w:div>
    <w:div w:id="1784837845">
      <w:bodyDiv w:val="1"/>
      <w:marLeft w:val="0"/>
      <w:marRight w:val="0"/>
      <w:marTop w:val="0"/>
      <w:marBottom w:val="0"/>
      <w:divBdr>
        <w:top w:val="none" w:sz="0" w:space="0" w:color="auto"/>
        <w:left w:val="none" w:sz="0" w:space="0" w:color="auto"/>
        <w:bottom w:val="none" w:sz="0" w:space="0" w:color="auto"/>
        <w:right w:val="none" w:sz="0" w:space="0" w:color="auto"/>
      </w:divBdr>
    </w:div>
    <w:div w:id="1921715434">
      <w:bodyDiv w:val="1"/>
      <w:marLeft w:val="0"/>
      <w:marRight w:val="0"/>
      <w:marTop w:val="0"/>
      <w:marBottom w:val="0"/>
      <w:divBdr>
        <w:top w:val="none" w:sz="0" w:space="0" w:color="auto"/>
        <w:left w:val="none" w:sz="0" w:space="0" w:color="auto"/>
        <w:bottom w:val="none" w:sz="0" w:space="0" w:color="auto"/>
        <w:right w:val="none" w:sz="0" w:space="0" w:color="auto"/>
      </w:divBdr>
    </w:div>
    <w:div w:id="1945115952">
      <w:bodyDiv w:val="1"/>
      <w:marLeft w:val="0"/>
      <w:marRight w:val="0"/>
      <w:marTop w:val="0"/>
      <w:marBottom w:val="0"/>
      <w:divBdr>
        <w:top w:val="none" w:sz="0" w:space="0" w:color="auto"/>
        <w:left w:val="none" w:sz="0" w:space="0" w:color="auto"/>
        <w:bottom w:val="none" w:sz="0" w:space="0" w:color="auto"/>
        <w:right w:val="none" w:sz="0" w:space="0" w:color="auto"/>
      </w:divBdr>
    </w:div>
    <w:div w:id="2140830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hsa.calaverasgov.us/Public-Assistance/Eligibility/CalWORKs" TargetMode="External"/><Relationship Id="rId18" Type="http://schemas.openxmlformats.org/officeDocument/2006/relationships/hyperlink" Target="http://www.endhomelessness.org/" TargetMode="External"/><Relationship Id="rId26" Type="http://schemas.openxmlformats.org/officeDocument/2006/relationships/hyperlink" Target="https://www.hcd.ca.gov/grants-funding/docs/ESG-Eligible-Expense-Guide.pdf" TargetMode="External"/><Relationship Id="rId3" Type="http://schemas.openxmlformats.org/officeDocument/2006/relationships/styles" Target="styles.xml"/><Relationship Id="rId21" Type="http://schemas.openxmlformats.org/officeDocument/2006/relationships/hyperlink" Target="https://www.hud.gov/sites/documents/DOC_11775.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madorgov.org/services/social-services" TargetMode="External"/><Relationship Id="rId17" Type="http://schemas.openxmlformats.org/officeDocument/2006/relationships/hyperlink" Target="http://www.endhomelessness.org/" TargetMode="External"/><Relationship Id="rId25" Type="http://schemas.openxmlformats.org/officeDocument/2006/relationships/hyperlink" Target="https://www.hudexchange.info/incomecalculator/"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dcloward@atcaa.org" TargetMode="External"/><Relationship Id="rId20" Type="http://schemas.openxmlformats.org/officeDocument/2006/relationships/hyperlink" Target="https://www.victimsofcrime.org/our-programs/stalking-resource-center" TargetMode="External"/><Relationship Id="rId29" Type="http://schemas.openxmlformats.org/officeDocument/2006/relationships/hyperlink" Target="https://www.bcsh.ca.gov/hcfc/documents/heap_overvie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hcd.ca.gov/grants-funding/docs/ESG-Eligible-Expense-Guide.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uolumnecounty.ca.gov/294/CalWORKs" TargetMode="External"/><Relationship Id="rId23" Type="http://schemas.openxmlformats.org/officeDocument/2006/relationships/hyperlink" Target="http://www.hud.gov/offices/lead/training/visualassessment/h00101.htm" TargetMode="External"/><Relationship Id="rId28" Type="http://schemas.openxmlformats.org/officeDocument/2006/relationships/hyperlink" Target="https://www.bcsh.ca.gov/hcfc/" TargetMode="External"/><Relationship Id="rId10" Type="http://schemas.openxmlformats.org/officeDocument/2006/relationships/footer" Target="footer1.xml"/><Relationship Id="rId19" Type="http://schemas.openxmlformats.org/officeDocument/2006/relationships/hyperlink" Target="https://files.hudexchange.info/resources/documents/COVID-19-Homeless-System-Response-Alternative-Approaches-to-Winter-Sheltering-During-COVID-19.pdf" TargetMode="External"/><Relationship Id="rId31" Type="http://schemas.openxmlformats.org/officeDocument/2006/relationships/hyperlink" Target="https://www.huduser.gov/portal/datasets/il.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riposacounty.org/FAQ.aspx?TID=62" TargetMode="External"/><Relationship Id="rId22" Type="http://schemas.openxmlformats.org/officeDocument/2006/relationships/hyperlink" Target="http://www.hud.gov/offices/lead/enforcement/disclosure.cfm" TargetMode="External"/><Relationship Id="rId27" Type="http://schemas.openxmlformats.org/officeDocument/2006/relationships/hyperlink" Target="https://www.hcd.ca.gov/grants-funding/docs/ESG-Eligible-Expense-Guide.pdf" TargetMode="External"/><Relationship Id="rId30" Type="http://schemas.openxmlformats.org/officeDocument/2006/relationships/hyperlink" Target="http://www.hcd.ca.gov/"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Berli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FA365C-9AB9-4D4B-A865-A19486A6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159</Pages>
  <Words>49718</Words>
  <Characters>283393</Characters>
  <Application>Microsoft Office Word</Application>
  <DocSecurity>0</DocSecurity>
  <Lines>2361</Lines>
  <Paragraphs>664</Paragraphs>
  <ScaleCrop>false</ScaleCrop>
  <HeadingPairs>
    <vt:vector size="2" baseType="variant">
      <vt:variant>
        <vt:lpstr>Title</vt:lpstr>
      </vt:variant>
      <vt:variant>
        <vt:i4>1</vt:i4>
      </vt:variant>
    </vt:vector>
  </HeadingPairs>
  <TitlesOfParts>
    <vt:vector size="1" baseType="lpstr">
      <vt:lpstr>COC &amp; ESG 
written standards</vt:lpstr>
    </vt:vector>
  </TitlesOfParts>
  <Company>HomeBase CCC</Company>
  <LinksUpToDate>false</LinksUpToDate>
  <CharactersWithSpaces>332447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 &amp; ESG 
written standards</dc:title>
  <dc:subject>Serving Central Sierra Continuum of Care (CA-526)</dc:subject>
  <dc:creator>Microsoft Office User</dc:creator>
  <cp:keywords/>
  <dc:description/>
  <cp:lastModifiedBy>PJ Davis</cp:lastModifiedBy>
  <cp:revision>2</cp:revision>
  <cp:lastPrinted>2021-02-18T00:13:00Z</cp:lastPrinted>
  <dcterms:created xsi:type="dcterms:W3CDTF">2023-01-14T19:44:00Z</dcterms:created>
  <dcterms:modified xsi:type="dcterms:W3CDTF">2023-01-14T19:44:00Z</dcterms:modified>
</cp:coreProperties>
</file>